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A85F079" w14:textId="4935B706" w:rsidR="00E4567F" w:rsidRDefault="00E4567F" w:rsidP="00E4567F">
      <w:pPr>
        <w:spacing w:before="120" w:after="120"/>
        <w:jc w:val="both"/>
        <w:outlineLvl w:val="1"/>
        <w:rPr>
          <w:rFonts w:eastAsia="Times New Roman" w:cs="Arial"/>
          <w:b/>
          <w:bCs/>
          <w:lang w:eastAsia="en-ZA"/>
        </w:rPr>
      </w:pPr>
      <w:r>
        <w:rPr>
          <w:rFonts w:eastAsia="Times New Roman" w:cs="Arial"/>
          <w:b/>
          <w:bCs/>
          <w:lang w:eastAsia="en-ZA"/>
        </w:rPr>
        <w:t>RESOURCES FILE</w:t>
      </w:r>
    </w:p>
    <w:p w14:paraId="2CBB3972" w14:textId="77777777" w:rsidR="00E4567F" w:rsidRDefault="00E4567F" w:rsidP="00E4567F">
      <w:pPr>
        <w:spacing w:before="120" w:after="120"/>
        <w:jc w:val="both"/>
        <w:outlineLvl w:val="1"/>
        <w:rPr>
          <w:rFonts w:eastAsia="Times New Roman" w:cs="Arial"/>
          <w:b/>
          <w:bCs/>
          <w:lang w:eastAsia="en-ZA"/>
        </w:rPr>
      </w:pPr>
    </w:p>
    <w:p w14:paraId="6F6C9351" w14:textId="1895EBDB" w:rsidR="00E4567F" w:rsidRPr="00E4567F" w:rsidRDefault="00E4567F" w:rsidP="00E4567F">
      <w:pPr>
        <w:spacing w:before="120" w:after="120"/>
        <w:jc w:val="both"/>
        <w:outlineLvl w:val="1"/>
        <w:rPr>
          <w:rFonts w:eastAsia="Times New Roman" w:cs="Arial"/>
          <w:b/>
          <w:bCs/>
          <w:lang w:eastAsia="en-ZA"/>
        </w:rPr>
      </w:pPr>
      <w:r w:rsidRPr="00E4567F">
        <w:rPr>
          <w:rFonts w:eastAsia="Times New Roman" w:cs="Arial"/>
          <w:b/>
          <w:bCs/>
          <w:lang w:eastAsia="en-ZA"/>
        </w:rPr>
        <w:t>Reading: The Business Cycle: Definition and Phases</w:t>
      </w:r>
    </w:p>
    <w:p w14:paraId="335C8AA1" w14:textId="77777777" w:rsidR="00E4567F" w:rsidRPr="00E4567F" w:rsidRDefault="00E4567F" w:rsidP="00E4567F">
      <w:pPr>
        <w:spacing w:before="120" w:after="120"/>
        <w:jc w:val="both"/>
        <w:outlineLvl w:val="1"/>
        <w:rPr>
          <w:rFonts w:eastAsia="Times New Roman" w:cs="Arial"/>
          <w:b/>
          <w:bCs/>
          <w:lang w:eastAsia="en-ZA"/>
        </w:rPr>
      </w:pPr>
      <w:r w:rsidRPr="00E4567F">
        <w:rPr>
          <w:rFonts w:eastAsia="Times New Roman" w:cs="Arial"/>
          <w:b/>
          <w:bCs/>
          <w:lang w:eastAsia="en-ZA"/>
        </w:rPr>
        <w:t>The Business Cycle</w:t>
      </w:r>
    </w:p>
    <w:p w14:paraId="003F143D" w14:textId="77777777" w:rsidR="00E4567F" w:rsidRPr="00E4567F" w:rsidRDefault="00E4567F" w:rsidP="00E4567F">
      <w:pPr>
        <w:spacing w:before="120" w:after="120"/>
        <w:jc w:val="both"/>
        <w:rPr>
          <w:rFonts w:eastAsia="Times New Roman" w:cs="Arial"/>
          <w:lang w:eastAsia="en-ZA"/>
        </w:rPr>
      </w:pPr>
      <w:r w:rsidRPr="00E4567F">
        <w:rPr>
          <w:rFonts w:eastAsia="Times New Roman" w:cs="Arial"/>
          <w:lang w:eastAsia="en-ZA"/>
        </w:rPr>
        <w:t>The term “business cycle” (or economic cycle or boom-bust cycle) refers to economy-wide fluctuations in production, trade, and general economic activity. From a conceptual perspective, the business cycle is the upward and downward movements of levels of GDP (gross domestic product) and refers to the period of expansions and contractions in the level of economic activities (business fluctuations) around a long-term growth trend.</w:t>
      </w:r>
    </w:p>
    <w:p w14:paraId="0EF82228" w14:textId="77777777" w:rsidR="00E4567F" w:rsidRPr="00E4567F" w:rsidRDefault="00E4567F" w:rsidP="00E4567F">
      <w:pPr>
        <w:spacing w:before="120" w:after="120"/>
        <w:jc w:val="both"/>
        <w:rPr>
          <w:rFonts w:eastAsia="Times New Roman" w:cs="Arial"/>
          <w:lang w:eastAsia="en-ZA"/>
        </w:rPr>
      </w:pPr>
      <w:r w:rsidRPr="00E4567F">
        <w:rPr>
          <w:rFonts w:eastAsia="Times New Roman" w:cs="Arial"/>
          <w:noProof/>
          <w:color w:val="0000FF"/>
          <w:lang w:eastAsia="en-ZA"/>
        </w:rPr>
        <w:drawing>
          <wp:inline distT="0" distB="0" distL="0" distR="0" wp14:anchorId="1F42AD89" wp14:editId="5C081B23">
            <wp:extent cx="2857500" cy="2080260"/>
            <wp:effectExtent l="0" t="0" r="0" b="0"/>
            <wp:docPr id="1" name="Picture 1" descr="Business-cycle graph showing output (GDP) over time. The phases of a business cycle follow a wave-like pattern over time, with expansion leading to a peak and then followed by contraction.">
              <a:hlinkClick xmlns:a="http://schemas.openxmlformats.org/drawingml/2006/main" r:id="rId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usiness-cycle graph showing output (GDP) over time. The phases of a business cycle follow a wave-like pattern over time, with expansion leading to a peak and then followed by contraction.">
                      <a:hlinkClick r:id="rId5"/>
                    </pic:cNvPr>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2857500" cy="2080260"/>
                    </a:xfrm>
                    <a:prstGeom prst="rect">
                      <a:avLst/>
                    </a:prstGeom>
                    <a:noFill/>
                    <a:ln>
                      <a:noFill/>
                    </a:ln>
                  </pic:spPr>
                </pic:pic>
              </a:graphicData>
            </a:graphic>
          </wp:inline>
        </w:drawing>
      </w:r>
    </w:p>
    <w:p w14:paraId="604322A3" w14:textId="77777777" w:rsidR="00E4567F" w:rsidRPr="00E4567F" w:rsidRDefault="00E4567F" w:rsidP="00E4567F">
      <w:pPr>
        <w:spacing w:before="120" w:after="120"/>
        <w:jc w:val="both"/>
        <w:rPr>
          <w:rFonts w:eastAsia="Times New Roman" w:cs="Arial"/>
          <w:lang w:eastAsia="en-ZA"/>
        </w:rPr>
      </w:pPr>
      <w:r w:rsidRPr="00E4567F">
        <w:rPr>
          <w:rFonts w:eastAsia="Times New Roman" w:cs="Arial"/>
          <w:lang w:eastAsia="en-ZA"/>
        </w:rPr>
        <w:t>Figure 1. Business Cycles: The phases of a business cycle follow a wave-like pattern over time with regard to GDP, with expansion leading to a peak and then followed by contraction.</w:t>
      </w:r>
    </w:p>
    <w:p w14:paraId="0A94A1B7" w14:textId="77777777" w:rsidR="00E4567F" w:rsidRPr="00E4567F" w:rsidRDefault="00E4567F" w:rsidP="00E4567F">
      <w:pPr>
        <w:spacing w:before="120" w:after="120"/>
        <w:jc w:val="both"/>
        <w:outlineLvl w:val="1"/>
        <w:rPr>
          <w:rFonts w:eastAsia="Times New Roman" w:cs="Arial"/>
          <w:b/>
          <w:bCs/>
          <w:lang w:eastAsia="en-ZA"/>
        </w:rPr>
      </w:pPr>
      <w:r w:rsidRPr="00E4567F">
        <w:rPr>
          <w:rFonts w:eastAsia="Times New Roman" w:cs="Arial"/>
          <w:b/>
          <w:bCs/>
          <w:lang w:eastAsia="en-ZA"/>
        </w:rPr>
        <w:t>Business Cycle Phases</w:t>
      </w:r>
    </w:p>
    <w:p w14:paraId="030C8EA6" w14:textId="77777777" w:rsidR="00E4567F" w:rsidRPr="00E4567F" w:rsidRDefault="00E4567F" w:rsidP="00E4567F">
      <w:pPr>
        <w:spacing w:before="120" w:after="120"/>
        <w:jc w:val="both"/>
        <w:rPr>
          <w:rFonts w:eastAsia="Times New Roman" w:cs="Arial"/>
          <w:lang w:eastAsia="en-ZA"/>
        </w:rPr>
      </w:pPr>
      <w:r w:rsidRPr="00E4567F">
        <w:rPr>
          <w:rFonts w:eastAsia="Times New Roman" w:cs="Arial"/>
          <w:lang w:eastAsia="en-ZA"/>
        </w:rPr>
        <w:t>Business cycles are identified as having four distinct phases: expansion, peak, contraction, and trough.</w:t>
      </w:r>
    </w:p>
    <w:p w14:paraId="13C92D61" w14:textId="77777777" w:rsidR="00E4567F" w:rsidRPr="00E4567F" w:rsidRDefault="00E4567F" w:rsidP="00E4567F">
      <w:pPr>
        <w:spacing w:before="120" w:after="120"/>
        <w:jc w:val="both"/>
        <w:rPr>
          <w:rFonts w:eastAsia="Times New Roman" w:cs="Arial"/>
          <w:lang w:eastAsia="en-ZA"/>
        </w:rPr>
      </w:pPr>
      <w:r w:rsidRPr="00E4567F">
        <w:rPr>
          <w:rFonts w:eastAsia="Times New Roman" w:cs="Arial"/>
          <w:lang w:eastAsia="en-ZA"/>
        </w:rPr>
        <w:t xml:space="preserve">An </w:t>
      </w:r>
      <w:r w:rsidRPr="00E4567F">
        <w:rPr>
          <w:rFonts w:eastAsia="Times New Roman" w:cs="Arial"/>
          <w:b/>
          <w:bCs/>
          <w:lang w:eastAsia="en-ZA"/>
        </w:rPr>
        <w:t>expansion</w:t>
      </w:r>
      <w:r w:rsidRPr="00E4567F">
        <w:rPr>
          <w:rFonts w:eastAsia="Times New Roman" w:cs="Arial"/>
          <w:lang w:eastAsia="en-ZA"/>
        </w:rPr>
        <w:t xml:space="preserve"> is characterized by increasing employment, economic growth, and upward pressure on prices. A </w:t>
      </w:r>
      <w:r w:rsidRPr="00E4567F">
        <w:rPr>
          <w:rFonts w:eastAsia="Times New Roman" w:cs="Arial"/>
          <w:b/>
          <w:bCs/>
          <w:lang w:eastAsia="en-ZA"/>
        </w:rPr>
        <w:t>peak</w:t>
      </w:r>
      <w:r w:rsidRPr="00E4567F">
        <w:rPr>
          <w:rFonts w:eastAsia="Times New Roman" w:cs="Arial"/>
          <w:lang w:eastAsia="en-ZA"/>
        </w:rPr>
        <w:t xml:space="preserve"> is the highest point of the business cycle, when the economy is producing at maximum allowable output, employment is at or above full employment, and inflationary pressures on prices are evident. Following a peak, the economy typically enters into a correction which is characterized by a </w:t>
      </w:r>
      <w:r w:rsidRPr="00E4567F">
        <w:rPr>
          <w:rFonts w:eastAsia="Times New Roman" w:cs="Arial"/>
          <w:b/>
          <w:bCs/>
          <w:lang w:eastAsia="en-ZA"/>
        </w:rPr>
        <w:t xml:space="preserve">contraction </w:t>
      </w:r>
      <w:r w:rsidRPr="00E4567F">
        <w:rPr>
          <w:rFonts w:eastAsia="Times New Roman" w:cs="Arial"/>
          <w:lang w:eastAsia="en-ZA"/>
        </w:rPr>
        <w:t xml:space="preserve">where growth slows, employment declines (unemployment increases), and pricing pressures subside.  The slowing ceases at the </w:t>
      </w:r>
      <w:r w:rsidRPr="00E4567F">
        <w:rPr>
          <w:rFonts w:eastAsia="Times New Roman" w:cs="Arial"/>
          <w:b/>
          <w:bCs/>
          <w:lang w:eastAsia="en-ZA"/>
        </w:rPr>
        <w:t>trough</w:t>
      </w:r>
      <w:r w:rsidRPr="00E4567F">
        <w:rPr>
          <w:rFonts w:eastAsia="Times New Roman" w:cs="Arial"/>
          <w:lang w:eastAsia="en-ZA"/>
        </w:rPr>
        <w:t xml:space="preserve"> and at this point the economy has hit a bottom from which the next phase of expansion and contraction will emerge.</w:t>
      </w:r>
    </w:p>
    <w:p w14:paraId="27DEA920" w14:textId="77777777" w:rsidR="00E4567F" w:rsidRPr="00E4567F" w:rsidRDefault="00E4567F" w:rsidP="00E4567F">
      <w:pPr>
        <w:spacing w:before="120" w:after="120"/>
        <w:jc w:val="both"/>
        <w:outlineLvl w:val="1"/>
        <w:rPr>
          <w:rFonts w:eastAsia="Times New Roman" w:cs="Arial"/>
          <w:b/>
          <w:bCs/>
          <w:lang w:eastAsia="en-ZA"/>
        </w:rPr>
      </w:pPr>
      <w:r w:rsidRPr="00E4567F">
        <w:rPr>
          <w:rFonts w:eastAsia="Times New Roman" w:cs="Arial"/>
          <w:b/>
          <w:bCs/>
          <w:lang w:eastAsia="en-ZA"/>
        </w:rPr>
        <w:t>Business Cycle Fluctuations</w:t>
      </w:r>
    </w:p>
    <w:p w14:paraId="240AF4A9" w14:textId="77777777" w:rsidR="00E4567F" w:rsidRPr="00E4567F" w:rsidRDefault="00E4567F" w:rsidP="00E4567F">
      <w:pPr>
        <w:spacing w:before="120" w:after="120"/>
        <w:jc w:val="both"/>
        <w:rPr>
          <w:rFonts w:eastAsia="Times New Roman" w:cs="Arial"/>
          <w:lang w:eastAsia="en-ZA"/>
        </w:rPr>
      </w:pPr>
      <w:r w:rsidRPr="00E4567F">
        <w:rPr>
          <w:rFonts w:eastAsia="Times New Roman" w:cs="Arial"/>
          <w:lang w:eastAsia="en-ZA"/>
        </w:rPr>
        <w:t>Business cycle fluctuations occur around a long-term growth trend and are usually measured in terms of the growth rate of real gross domestic product.</w:t>
      </w:r>
    </w:p>
    <w:p w14:paraId="5358CE89" w14:textId="77777777" w:rsidR="00E4567F" w:rsidRPr="00E4567F" w:rsidRDefault="00E4567F" w:rsidP="00E4567F">
      <w:pPr>
        <w:spacing w:before="120" w:after="120"/>
        <w:jc w:val="both"/>
        <w:rPr>
          <w:rFonts w:eastAsia="Times New Roman" w:cs="Arial"/>
          <w:lang w:eastAsia="en-ZA"/>
        </w:rPr>
      </w:pPr>
      <w:r w:rsidRPr="00E4567F">
        <w:rPr>
          <w:rFonts w:eastAsia="Times New Roman" w:cs="Arial"/>
          <w:lang w:eastAsia="en-ZA"/>
        </w:rPr>
        <w:t xml:space="preserve">In the United States, it is generally accepted that the National Bureau of Economic Research (NBER) is the final arbiter of the dates of the peaks and troughs of the business cycle. An </w:t>
      </w:r>
      <w:r w:rsidRPr="00E4567F">
        <w:rPr>
          <w:rFonts w:eastAsia="Times New Roman" w:cs="Arial"/>
          <w:b/>
          <w:bCs/>
          <w:lang w:eastAsia="en-ZA"/>
        </w:rPr>
        <w:t>expansion</w:t>
      </w:r>
      <w:r w:rsidRPr="00E4567F">
        <w:rPr>
          <w:rFonts w:eastAsia="Times New Roman" w:cs="Arial"/>
          <w:lang w:eastAsia="en-ZA"/>
        </w:rPr>
        <w:t xml:space="preserve"> is the period from a trough to a peak, and a </w:t>
      </w:r>
      <w:r w:rsidRPr="00E4567F">
        <w:rPr>
          <w:rFonts w:eastAsia="Times New Roman" w:cs="Arial"/>
          <w:b/>
          <w:bCs/>
          <w:lang w:eastAsia="en-ZA"/>
        </w:rPr>
        <w:t>recession</w:t>
      </w:r>
      <w:r w:rsidRPr="00E4567F">
        <w:rPr>
          <w:rFonts w:eastAsia="Times New Roman" w:cs="Arial"/>
          <w:lang w:eastAsia="en-ZA"/>
        </w:rPr>
        <w:t xml:space="preserve"> as the period from a peak to a trough. The NBER identifies a recession as “a significant decline in economic activity spread across the economy, lasting more than a few months, normally visible in real GDP, real income, employment, industrial production. ” This is significantly different from the commonly cited definition of a recession being signaled by two consecutive quarters of decline in real GDP. </w:t>
      </w:r>
      <w:r w:rsidRPr="00E4567F">
        <w:rPr>
          <w:rFonts w:eastAsia="Times New Roman" w:cs="Arial"/>
          <w:b/>
          <w:bCs/>
          <w:lang w:eastAsia="en-ZA"/>
        </w:rPr>
        <w:t> </w:t>
      </w:r>
      <w:r w:rsidRPr="00E4567F">
        <w:rPr>
          <w:rFonts w:eastAsia="Times New Roman" w:cs="Arial"/>
          <w:lang w:eastAsia="en-ZA"/>
        </w:rPr>
        <w:t xml:space="preserve">If the economy does not begin to expand again then the economy may be considered to be in a state of </w:t>
      </w:r>
      <w:r w:rsidRPr="00E4567F">
        <w:rPr>
          <w:rFonts w:eastAsia="Times New Roman" w:cs="Arial"/>
          <w:b/>
          <w:bCs/>
          <w:lang w:eastAsia="en-ZA"/>
        </w:rPr>
        <w:t>depression</w:t>
      </w:r>
      <w:r w:rsidRPr="00E4567F">
        <w:rPr>
          <w:rFonts w:eastAsia="Times New Roman" w:cs="Arial"/>
          <w:lang w:eastAsia="en-ZA"/>
        </w:rPr>
        <w:t>.</w:t>
      </w:r>
    </w:p>
    <w:p w14:paraId="73B9606E" w14:textId="77777777" w:rsidR="00DC380B" w:rsidRDefault="00DC380B">
      <w:pPr>
        <w:rPr>
          <w:rFonts w:eastAsia="Times New Roman" w:cs="Arial"/>
          <w:b/>
          <w:bCs/>
          <w:lang w:eastAsia="en-ZA"/>
        </w:rPr>
      </w:pPr>
      <w:r>
        <w:rPr>
          <w:rFonts w:eastAsia="Times New Roman" w:cs="Arial"/>
          <w:b/>
          <w:bCs/>
          <w:lang w:eastAsia="en-ZA"/>
        </w:rPr>
        <w:br w:type="page"/>
      </w:r>
    </w:p>
    <w:p w14:paraId="10F84121" w14:textId="36F5187E" w:rsidR="00E4567F" w:rsidRPr="00E4567F" w:rsidRDefault="00E4567F" w:rsidP="00E4567F">
      <w:pPr>
        <w:spacing w:before="120" w:after="120"/>
        <w:jc w:val="both"/>
        <w:outlineLvl w:val="1"/>
        <w:rPr>
          <w:rFonts w:eastAsia="Times New Roman" w:cs="Arial"/>
          <w:b/>
          <w:bCs/>
          <w:lang w:eastAsia="en-ZA"/>
        </w:rPr>
      </w:pPr>
      <w:r w:rsidRPr="00E4567F">
        <w:rPr>
          <w:rFonts w:eastAsia="Times New Roman" w:cs="Arial"/>
          <w:b/>
          <w:bCs/>
          <w:lang w:eastAsia="en-ZA"/>
        </w:rPr>
        <w:lastRenderedPageBreak/>
        <w:t>Impact on Business Operations</w:t>
      </w:r>
    </w:p>
    <w:p w14:paraId="1EE73CEC" w14:textId="77777777" w:rsidR="00E4567F" w:rsidRPr="00E4567F" w:rsidRDefault="00E4567F" w:rsidP="00E4567F">
      <w:pPr>
        <w:spacing w:before="120" w:after="120"/>
        <w:jc w:val="both"/>
        <w:rPr>
          <w:rFonts w:eastAsia="Times New Roman" w:cs="Arial"/>
          <w:lang w:eastAsia="en-ZA"/>
        </w:rPr>
      </w:pPr>
      <w:r w:rsidRPr="00E4567F">
        <w:rPr>
          <w:rFonts w:eastAsia="Times New Roman" w:cs="Arial"/>
          <w:lang w:eastAsia="en-ZA"/>
        </w:rPr>
        <w:t>How the business cycle affects business operations may be best explained by looking at how one business responds to these cycles. Normal Maintenance is a small business that provides a variety of construction services to homeowners. They specialize in roofing, deck installations, siding, and general home maintenance. They employ three full-time workers, who typically work forty hours per week for an average of twelve dollars per hour. The company has been in business in the same town for than twenty years and has a solid reputation for quality work and reliability.</w:t>
      </w:r>
    </w:p>
    <w:p w14:paraId="2818EA79" w14:textId="77777777" w:rsidR="00E4567F" w:rsidRPr="00E4567F" w:rsidRDefault="00E4567F" w:rsidP="00E4567F">
      <w:pPr>
        <w:spacing w:before="120" w:after="120"/>
        <w:jc w:val="both"/>
        <w:outlineLvl w:val="2"/>
        <w:rPr>
          <w:rFonts w:eastAsia="Times New Roman" w:cs="Arial"/>
          <w:b/>
          <w:bCs/>
          <w:lang w:eastAsia="en-ZA"/>
        </w:rPr>
      </w:pPr>
      <w:r w:rsidRPr="00E4567F">
        <w:rPr>
          <w:rFonts w:eastAsia="Times New Roman" w:cs="Arial"/>
          <w:b/>
          <w:bCs/>
          <w:lang w:eastAsia="en-ZA"/>
        </w:rPr>
        <w:t>Expansion</w:t>
      </w:r>
    </w:p>
    <w:p w14:paraId="5EE7FB66" w14:textId="77777777" w:rsidR="00E4567F" w:rsidRPr="00E4567F" w:rsidRDefault="00E4567F" w:rsidP="00E4567F">
      <w:pPr>
        <w:spacing w:before="120" w:after="120"/>
        <w:jc w:val="both"/>
        <w:rPr>
          <w:rFonts w:eastAsia="Times New Roman" w:cs="Arial"/>
          <w:lang w:eastAsia="en-ZA"/>
        </w:rPr>
      </w:pPr>
      <w:r w:rsidRPr="00E4567F">
        <w:rPr>
          <w:rFonts w:eastAsia="Times New Roman" w:cs="Arial"/>
          <w:lang w:eastAsia="en-ZA"/>
        </w:rPr>
        <w:t>Normal Maintenance is busy and has recently had to turn down jobs because it lacks the capacity to do all the work offered. Homeowners now want to make home repairs and improvements which they had had to put off during the sour economy. With the economy improving, others are fixing up their homes to sell. Faced with so much demand, the owner of Normal Maintenance must decide whether to pay his existing workers overtime (which will increase the costs for each job and reduce profits) or hire additional workers. The competition for qualified construction labor is steep, and he is concerned that he will have to pay more than his usual rate of twelve dollars per hour or possibly get workers who are not as qualified as his current crew. He is, however, able to charge higher prices for his work because homeowners are experiencing long waits and delays getting bids and jobs completed.  The owner purchases a new truck and invests in additional tools in order to keep up with the demand for services. Customers are willing to pay more than usual so they can get the work done. Business is expanding to such an extent that Normal Maintenance and its suppliers are starting to have trouble obtaining materials such as shingles and siding because the manufacturers have not kept pace with the economic expansion. In general, business is great for Normal Maintenance, but the expansion brings challenges.</w:t>
      </w:r>
    </w:p>
    <w:p w14:paraId="04A450EC" w14:textId="77777777" w:rsidR="00E4567F" w:rsidRPr="00E4567F" w:rsidRDefault="00E4567F" w:rsidP="00E4567F">
      <w:pPr>
        <w:spacing w:before="120" w:after="120"/>
        <w:jc w:val="both"/>
        <w:outlineLvl w:val="2"/>
        <w:rPr>
          <w:rFonts w:eastAsia="Times New Roman" w:cs="Arial"/>
          <w:b/>
          <w:bCs/>
          <w:lang w:eastAsia="en-ZA"/>
        </w:rPr>
      </w:pPr>
      <w:r w:rsidRPr="00E4567F">
        <w:rPr>
          <w:rFonts w:eastAsia="Times New Roman" w:cs="Arial"/>
          <w:b/>
          <w:bCs/>
          <w:lang w:eastAsia="en-ZA"/>
        </w:rPr>
        <w:t>Peak  </w:t>
      </w:r>
    </w:p>
    <w:p w14:paraId="2EC1318C" w14:textId="77777777" w:rsidR="00E4567F" w:rsidRPr="00E4567F" w:rsidRDefault="00E4567F" w:rsidP="00E4567F">
      <w:pPr>
        <w:spacing w:before="120" w:after="120"/>
        <w:jc w:val="both"/>
        <w:rPr>
          <w:rFonts w:eastAsia="Times New Roman" w:cs="Arial"/>
          <w:lang w:eastAsia="en-ZA"/>
        </w:rPr>
      </w:pPr>
      <w:r w:rsidRPr="00E4567F">
        <w:rPr>
          <w:rFonts w:eastAsia="Times New Roman" w:cs="Arial"/>
          <w:lang w:eastAsia="en-ZA"/>
        </w:rPr>
        <w:t>At the peak of the business cycle, the economy can be said to be “overheated.” Despite hiring additional workers, the owner and crews of Normal Maintenance are working seven days a week and are still unable to keep up with demand. They can’t work any harder or faster. As a result, the crews are exhausted and the quality of their work is beginning to decline. Customers leave messages requesting work and services, but the owner is so busy he doesn’t return phone calls. Jobs are getting started and completed late as the crews struggle to cover multiple job sites. As a result, customer complaints are on the rise, and the owner is worried about the long-term reputation of the business. Neither the business nor the economy can sustain this level of activity, and despite the fact that Normal Maintenance is making great money, everyone is ready for things to let up a little.</w:t>
      </w:r>
    </w:p>
    <w:p w14:paraId="44968A19" w14:textId="77777777" w:rsidR="00E4567F" w:rsidRPr="00E4567F" w:rsidRDefault="00E4567F" w:rsidP="00E4567F">
      <w:pPr>
        <w:spacing w:before="120" w:after="120"/>
        <w:jc w:val="both"/>
        <w:outlineLvl w:val="2"/>
        <w:rPr>
          <w:rFonts w:eastAsia="Times New Roman" w:cs="Arial"/>
          <w:b/>
          <w:bCs/>
          <w:lang w:eastAsia="en-ZA"/>
        </w:rPr>
      </w:pPr>
      <w:r w:rsidRPr="00E4567F">
        <w:rPr>
          <w:rFonts w:eastAsia="Times New Roman" w:cs="Arial"/>
          <w:b/>
          <w:bCs/>
          <w:lang w:eastAsia="en-ZA"/>
        </w:rPr>
        <w:t>Contraction</w:t>
      </w:r>
    </w:p>
    <w:p w14:paraId="5E3CAA6F" w14:textId="77777777" w:rsidR="00E4567F" w:rsidRPr="00E4567F" w:rsidRDefault="00E4567F" w:rsidP="00E4567F">
      <w:pPr>
        <w:spacing w:before="120" w:after="120"/>
        <w:jc w:val="both"/>
        <w:rPr>
          <w:rFonts w:eastAsia="Times New Roman" w:cs="Arial"/>
          <w:lang w:eastAsia="en-ZA"/>
        </w:rPr>
      </w:pPr>
      <w:r w:rsidRPr="00E4567F">
        <w:rPr>
          <w:rFonts w:eastAsia="Times New Roman" w:cs="Arial"/>
          <w:lang w:eastAsia="en-ZA"/>
        </w:rPr>
        <w:t xml:space="preserve">As the economy begins to contract, business begins to slow down for Normal Maintenance. They find that they are caught up on work and they aren’t getting so many phone calls. The owner is able to reduce his labor costs by cutting back on overtime and eliminate working on the weekends. When the phone does ring, homeowners are asking for </w:t>
      </w:r>
      <w:r w:rsidRPr="00E4567F">
        <w:rPr>
          <w:rFonts w:eastAsia="Times New Roman" w:cs="Arial"/>
          <w:i/>
          <w:iCs/>
          <w:lang w:eastAsia="en-ZA"/>
        </w:rPr>
        <w:t>bids</w:t>
      </w:r>
      <w:r w:rsidRPr="00E4567F">
        <w:rPr>
          <w:rFonts w:eastAsia="Times New Roman" w:cs="Arial"/>
          <w:lang w:eastAsia="en-ZA"/>
        </w:rPr>
        <w:t xml:space="preserve"> on work—not just placing work orders. Normal Maintenance loses out on several jobs because their bids are too high. The company begins to look for new suppliers who can provide them with materials at a cheaper price so they can be more competitive. The building material companies start offering “deals” and specials to contractors in order to generate sales. In general, competition for work has increased and some of the businesses that popped up during the expansion are no longer in the market. In the short term the owner is confident that he has enough work to keep his crew busy, but he’s concerned that if things don’t pick up, he might have to lay off some of the less experienced workers.</w:t>
      </w:r>
    </w:p>
    <w:p w14:paraId="29845849" w14:textId="77777777" w:rsidR="00DC380B" w:rsidRDefault="00DC380B">
      <w:pPr>
        <w:rPr>
          <w:rFonts w:eastAsia="Times New Roman" w:cs="Arial"/>
          <w:b/>
          <w:bCs/>
          <w:lang w:eastAsia="en-ZA"/>
        </w:rPr>
      </w:pPr>
      <w:r>
        <w:rPr>
          <w:rFonts w:eastAsia="Times New Roman" w:cs="Arial"/>
          <w:b/>
          <w:bCs/>
          <w:lang w:eastAsia="en-ZA"/>
        </w:rPr>
        <w:br w:type="page"/>
      </w:r>
    </w:p>
    <w:p w14:paraId="58635DDB" w14:textId="29B540D1" w:rsidR="00E4567F" w:rsidRPr="00E4567F" w:rsidRDefault="00E4567F" w:rsidP="00E4567F">
      <w:pPr>
        <w:spacing w:before="120" w:after="120"/>
        <w:jc w:val="both"/>
        <w:outlineLvl w:val="2"/>
        <w:rPr>
          <w:rFonts w:eastAsia="Times New Roman" w:cs="Arial"/>
          <w:b/>
          <w:bCs/>
          <w:lang w:eastAsia="en-ZA"/>
        </w:rPr>
      </w:pPr>
      <w:r w:rsidRPr="00E4567F">
        <w:rPr>
          <w:rFonts w:eastAsia="Times New Roman" w:cs="Arial"/>
          <w:b/>
          <w:bCs/>
          <w:lang w:eastAsia="en-ZA"/>
        </w:rPr>
        <w:lastRenderedPageBreak/>
        <w:t>Trough</w:t>
      </w:r>
    </w:p>
    <w:p w14:paraId="77148C39" w14:textId="77777777" w:rsidR="00E4567F" w:rsidRPr="00E4567F" w:rsidRDefault="00E4567F" w:rsidP="00E4567F">
      <w:pPr>
        <w:spacing w:before="120" w:after="120"/>
        <w:jc w:val="both"/>
        <w:rPr>
          <w:rFonts w:eastAsia="Times New Roman" w:cs="Arial"/>
          <w:lang w:eastAsia="en-ZA"/>
        </w:rPr>
      </w:pPr>
      <w:r w:rsidRPr="00E4567F">
        <w:rPr>
          <w:rFonts w:eastAsia="Times New Roman" w:cs="Arial"/>
          <w:lang w:eastAsia="en-ZA"/>
        </w:rPr>
        <w:t>On Monday morning, the crew of Normal Maintenance show up to work and the owner has to send them home: there’s no work for them. During the week before, they worked only three days, and the owner is down to his original crew of three employees. Several months ago he laid off the workers hired during the expansion. Although that was a difficult decision, the owner knows from hard experience that sometimes businesses fail not because their owners make bad decisions, but because they run out of money during recessions when there isn’t enough customer demand to sustain them. Without enough working capital to keep the doors open, some are forced to close down.</w:t>
      </w:r>
    </w:p>
    <w:p w14:paraId="6A545599" w14:textId="77777777" w:rsidR="00E4567F" w:rsidRPr="00E4567F" w:rsidRDefault="00E4567F" w:rsidP="00E4567F">
      <w:pPr>
        <w:spacing w:before="120" w:after="120"/>
        <w:jc w:val="both"/>
        <w:rPr>
          <w:rFonts w:eastAsia="Times New Roman" w:cs="Arial"/>
          <w:lang w:eastAsia="en-ZA"/>
        </w:rPr>
      </w:pPr>
      <w:r w:rsidRPr="00E4567F">
        <w:rPr>
          <w:rFonts w:eastAsia="Times New Roman" w:cs="Arial"/>
          <w:lang w:eastAsia="en-ZA"/>
        </w:rPr>
        <w:t>Representatives from supply companies are stopping by the office hoping to get an order for even the smallest quantity of materials. The new truck and tools that the owner purchased during the boom now sit idle and represent additional debt and costs. The company’s remaining work comes from people who have decided to fix up their existing homes because the economy isn’t good enough for them to buy new ones. The owner increases his advertising budget, hoping to capture any business that might be had. He is optimistic that Normal Maintenance will weather this economic storm—they’ve done it before—but he’s worried about his employees paying their bills over the winter.</w:t>
      </w:r>
    </w:p>
    <w:p w14:paraId="4064C831" w14:textId="77777777" w:rsidR="00E4567F" w:rsidRPr="00E4567F" w:rsidRDefault="00E4567F" w:rsidP="00E4567F">
      <w:pPr>
        <w:spacing w:before="120" w:after="120"/>
        <w:jc w:val="both"/>
        <w:rPr>
          <w:rFonts w:eastAsia="Times New Roman" w:cs="Arial"/>
          <w:lang w:eastAsia="en-ZA"/>
        </w:rPr>
      </w:pPr>
      <w:r w:rsidRPr="00E4567F">
        <w:rPr>
          <w:rFonts w:eastAsia="Times New Roman" w:cs="Arial"/>
          <w:lang w:eastAsia="en-ZA"/>
        </w:rPr>
        <w:t>The owner of Normal Maintenance has been in business for a long time, so he’s had some experience with the economic cycle. Though each stage has its stressors, he has learned to plan for them. One thing he knows is that the economy will eventually begin to expand again and run through the cycle all over again.</w:t>
      </w:r>
    </w:p>
    <w:p w14:paraId="7560D212" w14:textId="77777777" w:rsidR="00E4567F" w:rsidRPr="00E4567F" w:rsidRDefault="00E4567F" w:rsidP="00E4567F">
      <w:pPr>
        <w:spacing w:before="120" w:after="120"/>
        <w:jc w:val="both"/>
        <w:outlineLvl w:val="2"/>
        <w:rPr>
          <w:rFonts w:eastAsia="Times New Roman" w:cs="Arial"/>
          <w:b/>
          <w:bCs/>
          <w:lang w:eastAsia="en-ZA"/>
        </w:rPr>
      </w:pPr>
      <w:r w:rsidRPr="00E4567F">
        <w:rPr>
          <w:rFonts w:eastAsia="Times New Roman" w:cs="Arial"/>
          <w:b/>
          <w:bCs/>
          <w:lang w:eastAsia="en-ZA"/>
        </w:rPr>
        <w:t>KEY TAKEAWAYS</w:t>
      </w:r>
    </w:p>
    <w:p w14:paraId="1E67E750" w14:textId="77777777" w:rsidR="00E4567F" w:rsidRPr="00E4567F" w:rsidRDefault="00E4567F" w:rsidP="00E4567F">
      <w:pPr>
        <w:numPr>
          <w:ilvl w:val="0"/>
          <w:numId w:val="1"/>
        </w:numPr>
        <w:spacing w:before="120" w:after="120"/>
        <w:jc w:val="both"/>
        <w:rPr>
          <w:rFonts w:eastAsia="Times New Roman" w:cs="Arial"/>
          <w:lang w:eastAsia="en-ZA"/>
        </w:rPr>
      </w:pPr>
      <w:r w:rsidRPr="00E4567F">
        <w:rPr>
          <w:rFonts w:eastAsia="Times New Roman" w:cs="Arial"/>
          <w:lang w:eastAsia="en-ZA"/>
        </w:rPr>
        <w:t>Business cycles are identified as having four distinct phases: peak, trough, contraction, and expansion.</w:t>
      </w:r>
    </w:p>
    <w:p w14:paraId="1321BBC3" w14:textId="77777777" w:rsidR="00E4567F" w:rsidRPr="00E4567F" w:rsidRDefault="00E4567F" w:rsidP="00E4567F">
      <w:pPr>
        <w:numPr>
          <w:ilvl w:val="0"/>
          <w:numId w:val="1"/>
        </w:numPr>
        <w:spacing w:before="120" w:after="120"/>
        <w:jc w:val="both"/>
        <w:rPr>
          <w:rFonts w:eastAsia="Times New Roman" w:cs="Arial"/>
          <w:lang w:eastAsia="en-ZA"/>
        </w:rPr>
      </w:pPr>
      <w:r w:rsidRPr="00E4567F">
        <w:rPr>
          <w:rFonts w:eastAsia="Times New Roman" w:cs="Arial"/>
          <w:lang w:eastAsia="en-ZA"/>
        </w:rPr>
        <w:t>Business cycle fluctuations occur around a long-term growth trend and are usually measured by considering the growth rate of real gross domestic product.</w:t>
      </w:r>
    </w:p>
    <w:p w14:paraId="102CD733" w14:textId="77777777" w:rsidR="00E4567F" w:rsidRPr="00E4567F" w:rsidRDefault="00E4567F" w:rsidP="00E4567F">
      <w:pPr>
        <w:numPr>
          <w:ilvl w:val="0"/>
          <w:numId w:val="1"/>
        </w:numPr>
        <w:spacing w:before="120" w:after="120"/>
        <w:jc w:val="both"/>
        <w:rPr>
          <w:rFonts w:eastAsia="Times New Roman" w:cs="Arial"/>
          <w:lang w:eastAsia="en-ZA"/>
        </w:rPr>
      </w:pPr>
      <w:r w:rsidRPr="00E4567F">
        <w:rPr>
          <w:rFonts w:eastAsia="Times New Roman" w:cs="Arial"/>
          <w:lang w:eastAsia="en-ZA"/>
        </w:rPr>
        <w:t>In the United States, it is generally accepted that the National Bureau of Economic Research (NBER) is the final arbiter of the dates of the peaks and troughs of the business cycle.</w:t>
      </w:r>
    </w:p>
    <w:p w14:paraId="23486B36" w14:textId="77777777" w:rsidR="00E4567F" w:rsidRPr="00E4567F" w:rsidRDefault="00E4567F" w:rsidP="00E4567F">
      <w:pPr>
        <w:spacing w:before="120" w:after="120"/>
        <w:jc w:val="both"/>
        <w:rPr>
          <w:rFonts w:eastAsia="Times New Roman" w:cs="Arial"/>
          <w:lang w:eastAsia="en-ZA"/>
        </w:rPr>
      </w:pPr>
      <w:r w:rsidRPr="00E4567F">
        <w:rPr>
          <w:rFonts w:eastAsia="Times New Roman" w:cs="Arial"/>
          <w:lang w:eastAsia="en-ZA"/>
        </w:rPr>
        <w:t> </w:t>
      </w:r>
    </w:p>
    <w:p w14:paraId="2C45CC7D" w14:textId="77777777" w:rsidR="00E4567F" w:rsidRPr="00E4567F" w:rsidRDefault="00E4567F" w:rsidP="00E4567F">
      <w:pPr>
        <w:spacing w:before="120" w:after="120"/>
        <w:jc w:val="both"/>
        <w:outlineLvl w:val="1"/>
        <w:rPr>
          <w:rFonts w:eastAsia="Times New Roman" w:cs="Arial"/>
          <w:b/>
          <w:bCs/>
          <w:lang w:eastAsia="en-ZA"/>
        </w:rPr>
      </w:pPr>
      <w:r w:rsidRPr="00E4567F">
        <w:rPr>
          <w:rFonts w:eastAsia="Times New Roman" w:cs="Arial"/>
          <w:b/>
          <w:bCs/>
          <w:lang w:eastAsia="en-ZA"/>
        </w:rPr>
        <w:t>Check Your Understanding</w:t>
      </w:r>
    </w:p>
    <w:p w14:paraId="0CC29109" w14:textId="77777777" w:rsidR="00E4567F" w:rsidRPr="00E4567F" w:rsidRDefault="00E4567F" w:rsidP="00E4567F">
      <w:pPr>
        <w:spacing w:before="120" w:after="120"/>
        <w:jc w:val="both"/>
        <w:rPr>
          <w:rFonts w:eastAsia="Times New Roman" w:cs="Arial"/>
          <w:lang w:eastAsia="en-ZA"/>
        </w:rPr>
      </w:pPr>
      <w:r w:rsidRPr="00E4567F">
        <w:rPr>
          <w:rFonts w:eastAsia="Times New Roman" w:cs="Arial"/>
          <w:lang w:eastAsia="en-ZA"/>
        </w:rPr>
        <w:t xml:space="preserve">Answer the question(s) below to see how well you understand the topics covered in this section. This short quiz does </w:t>
      </w:r>
      <w:r w:rsidRPr="00E4567F">
        <w:rPr>
          <w:rFonts w:eastAsia="Times New Roman" w:cs="Arial"/>
          <w:b/>
          <w:bCs/>
          <w:lang w:eastAsia="en-ZA"/>
        </w:rPr>
        <w:t>not</w:t>
      </w:r>
      <w:r w:rsidRPr="00E4567F">
        <w:rPr>
          <w:rFonts w:eastAsia="Times New Roman" w:cs="Arial"/>
          <w:lang w:eastAsia="en-ZA"/>
        </w:rPr>
        <w:t xml:space="preserve"> count toward your grade in the class, and you can retake it an unlimited number of times.</w:t>
      </w:r>
    </w:p>
    <w:p w14:paraId="174E23E9" w14:textId="1285EA03" w:rsidR="00B65F30" w:rsidRDefault="00FA1C1A">
      <w:hyperlink r:id="rId7" w:history="1">
        <w:r w:rsidR="00E4567F" w:rsidRPr="00EF636E">
          <w:rPr>
            <w:rStyle w:val="Hyperlink"/>
          </w:rPr>
          <w:t>https://courses.lumenlearning.com/baycollege-introbusiness/chapter/reading-the-business-cycle-definition-and-phases/</w:t>
        </w:r>
      </w:hyperlink>
    </w:p>
    <w:p w14:paraId="143E4BD2" w14:textId="366F24D2" w:rsidR="00E4567F" w:rsidRDefault="00E4567F"/>
    <w:p w14:paraId="60E45AD0" w14:textId="337CC530" w:rsidR="00E4567F" w:rsidRDefault="00E4567F">
      <w:r>
        <w:br w:type="page"/>
      </w:r>
    </w:p>
    <w:p w14:paraId="77839F7B" w14:textId="77777777" w:rsidR="00E4567F" w:rsidRPr="00E4567F" w:rsidRDefault="00E4567F" w:rsidP="00E4567F">
      <w:pPr>
        <w:spacing w:before="120" w:after="120"/>
        <w:jc w:val="both"/>
        <w:outlineLvl w:val="0"/>
        <w:rPr>
          <w:rFonts w:eastAsia="Times New Roman" w:cs="Arial"/>
          <w:b/>
          <w:bCs/>
          <w:kern w:val="36"/>
          <w:sz w:val="32"/>
          <w:szCs w:val="32"/>
          <w:lang w:eastAsia="en-ZA"/>
        </w:rPr>
      </w:pPr>
      <w:r w:rsidRPr="00E4567F">
        <w:rPr>
          <w:rFonts w:eastAsia="Times New Roman" w:cs="Arial"/>
          <w:b/>
          <w:bCs/>
          <w:kern w:val="36"/>
          <w:sz w:val="32"/>
          <w:szCs w:val="32"/>
          <w:lang w:eastAsia="en-ZA"/>
        </w:rPr>
        <w:lastRenderedPageBreak/>
        <w:t xml:space="preserve">SA in longest downward business cycle since 1945 - report </w:t>
      </w:r>
    </w:p>
    <w:p w14:paraId="0F8A370F" w14:textId="77777777" w:rsidR="00E4567F" w:rsidRPr="00E4567F" w:rsidRDefault="00E4567F" w:rsidP="00E4567F">
      <w:pPr>
        <w:spacing w:before="120" w:after="120"/>
        <w:jc w:val="both"/>
        <w:rPr>
          <w:rFonts w:eastAsia="Times New Roman" w:cs="Arial"/>
          <w:lang w:eastAsia="en-ZA"/>
        </w:rPr>
      </w:pPr>
      <w:r w:rsidRPr="00E4567F">
        <w:rPr>
          <w:rFonts w:eastAsia="Times New Roman" w:cs="Arial"/>
          <w:noProof/>
          <w:color w:val="0000FF"/>
          <w:lang w:eastAsia="en-ZA"/>
        </w:rPr>
        <w:drawing>
          <wp:inline distT="0" distB="0" distL="0" distR="0" wp14:anchorId="4211F3CE" wp14:editId="45C2EBE5">
            <wp:extent cx="1264920" cy="419100"/>
            <wp:effectExtent l="0" t="0" r="0" b="0"/>
            <wp:docPr id="5" name="Picture 2" descr="accreditation">
              <a:hlinkClick xmlns:a="http://schemas.openxmlformats.org/drawingml/2006/main" r:id="rId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ccreditation">
                      <a:hlinkClick r:id="rId8"/>
                    </pic:cNvPr>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64920" cy="419100"/>
                    </a:xfrm>
                    <a:prstGeom prst="rect">
                      <a:avLst/>
                    </a:prstGeom>
                    <a:noFill/>
                    <a:ln>
                      <a:noFill/>
                    </a:ln>
                  </pic:spPr>
                </pic:pic>
              </a:graphicData>
            </a:graphic>
          </wp:inline>
        </w:drawing>
      </w:r>
    </w:p>
    <w:p w14:paraId="446EFA37" w14:textId="77777777" w:rsidR="00E4567F" w:rsidRPr="00E4567F" w:rsidRDefault="00E4567F" w:rsidP="00E4567F">
      <w:pPr>
        <w:spacing w:before="120" w:after="120"/>
        <w:jc w:val="both"/>
        <w:rPr>
          <w:rFonts w:eastAsia="Times New Roman" w:cs="Arial"/>
          <w:lang w:eastAsia="en-ZA"/>
        </w:rPr>
      </w:pPr>
      <w:r w:rsidRPr="00E4567F">
        <w:rPr>
          <w:rFonts w:eastAsia="Times New Roman" w:cs="Arial"/>
          <w:lang w:eastAsia="en-ZA"/>
        </w:rPr>
        <w:t xml:space="preserve">Carin Smith, Fin24 </w:t>
      </w:r>
    </w:p>
    <w:p w14:paraId="62A78BF6" w14:textId="77777777" w:rsidR="00E4567F" w:rsidRPr="00E4567F" w:rsidRDefault="00E4567F" w:rsidP="00E4567F">
      <w:pPr>
        <w:spacing w:before="120" w:after="120"/>
        <w:jc w:val="both"/>
        <w:rPr>
          <w:rFonts w:eastAsia="Times New Roman" w:cs="Arial"/>
          <w:lang w:eastAsia="en-ZA"/>
        </w:rPr>
      </w:pPr>
      <w:r w:rsidRPr="00E4567F">
        <w:rPr>
          <w:rFonts w:eastAsia="Times New Roman" w:cs="Arial"/>
          <w:lang w:eastAsia="en-ZA"/>
        </w:rPr>
        <w:t>South Africa is in the longest downward business cycle since 1945, according to a report by the Centre for Risk Analysis (CRA) at the Institute of Race Relations (IRR).</w:t>
      </w:r>
    </w:p>
    <w:p w14:paraId="50B13DEC" w14:textId="04F58B6D" w:rsidR="00E4567F" w:rsidRPr="00E4567F" w:rsidRDefault="00FA1C1A" w:rsidP="00E4567F">
      <w:pPr>
        <w:spacing w:before="120" w:after="120"/>
        <w:jc w:val="both"/>
        <w:rPr>
          <w:rFonts w:eastAsia="Times New Roman" w:cs="Arial"/>
          <w:lang w:eastAsia="en-ZA"/>
        </w:rPr>
      </w:pPr>
      <w:r>
        <w:rPr>
          <w:rFonts w:eastAsia="Times New Roman" w:cs="Arial"/>
          <w:lang w:eastAsia="en-ZA"/>
        </w:rPr>
        <w:t>“</w:t>
      </w:r>
      <w:r w:rsidR="00E4567F" w:rsidRPr="00E4567F">
        <w:rPr>
          <w:rFonts w:eastAsia="Times New Roman" w:cs="Arial"/>
          <w:lang w:eastAsia="en-ZA"/>
        </w:rPr>
        <w:t>This is extraordinary, since other emerging markets are driving the global economy,</w:t>
      </w:r>
      <w:r>
        <w:rPr>
          <w:rFonts w:eastAsia="Times New Roman" w:cs="Arial"/>
          <w:lang w:eastAsia="en-ZA"/>
        </w:rPr>
        <w:t>”</w:t>
      </w:r>
      <w:r w:rsidR="00E4567F" w:rsidRPr="00E4567F">
        <w:rPr>
          <w:rFonts w:eastAsia="Times New Roman" w:cs="Arial"/>
          <w:lang w:eastAsia="en-ZA"/>
        </w:rPr>
        <w:t xml:space="preserve"> IRR CEO Dr Frans Cronjé said in the report.</w:t>
      </w:r>
    </w:p>
    <w:p w14:paraId="3AA1739B" w14:textId="23DFA3A6" w:rsidR="00E4567F" w:rsidRPr="00E4567F" w:rsidRDefault="00E4567F" w:rsidP="00E4567F">
      <w:pPr>
        <w:spacing w:before="120" w:after="120"/>
        <w:jc w:val="both"/>
        <w:rPr>
          <w:rFonts w:eastAsia="Times New Roman" w:cs="Arial"/>
          <w:lang w:eastAsia="en-ZA"/>
        </w:rPr>
      </w:pPr>
      <w:r w:rsidRPr="00E4567F">
        <w:rPr>
          <w:rFonts w:eastAsia="Times New Roman" w:cs="Arial"/>
          <w:lang w:eastAsia="en-ZA"/>
        </w:rPr>
        <w:t>The CRA looked at data provided by the SA Reserve Bank on the country</w:t>
      </w:r>
      <w:r w:rsidR="00FA1C1A">
        <w:rPr>
          <w:rFonts w:eastAsia="Times New Roman" w:cs="Arial"/>
          <w:lang w:eastAsia="en-ZA"/>
        </w:rPr>
        <w:t>’</w:t>
      </w:r>
      <w:r w:rsidRPr="00E4567F">
        <w:rPr>
          <w:rFonts w:eastAsia="Times New Roman" w:cs="Arial"/>
          <w:lang w:eastAsia="en-ZA"/>
        </w:rPr>
        <w:t>s business cycle phases dating back to the end of the Second World War in 1945.</w:t>
      </w:r>
    </w:p>
    <w:p w14:paraId="5EDCD839" w14:textId="77777777" w:rsidR="00E4567F" w:rsidRPr="00E4567F" w:rsidRDefault="00E4567F" w:rsidP="00E4567F">
      <w:pPr>
        <w:spacing w:before="120" w:after="120"/>
        <w:jc w:val="both"/>
        <w:rPr>
          <w:rFonts w:eastAsia="Times New Roman" w:cs="Arial"/>
          <w:lang w:eastAsia="en-ZA"/>
        </w:rPr>
      </w:pPr>
      <w:r w:rsidRPr="00E4567F">
        <w:rPr>
          <w:rFonts w:eastAsia="Times New Roman" w:cs="Arial"/>
          <w:lang w:eastAsia="en-ZA"/>
        </w:rPr>
        <w:t>The SARB data - measured in months - indicates that SA has been in a downward phase since December 2013.</w:t>
      </w:r>
    </w:p>
    <w:p w14:paraId="595FF785" w14:textId="27016305" w:rsidR="00E4567F" w:rsidRPr="00E4567F" w:rsidRDefault="00E4567F" w:rsidP="00E4567F">
      <w:pPr>
        <w:spacing w:before="120" w:after="120"/>
        <w:jc w:val="both"/>
        <w:rPr>
          <w:rFonts w:eastAsia="Times New Roman" w:cs="Arial"/>
          <w:lang w:eastAsia="en-ZA"/>
        </w:rPr>
      </w:pPr>
      <w:r w:rsidRPr="00E4567F">
        <w:rPr>
          <w:rFonts w:eastAsia="Times New Roman" w:cs="Arial"/>
          <w:lang w:eastAsia="en-ZA"/>
        </w:rPr>
        <w:t xml:space="preserve">Ian Cruickshanks, chief economist of the IRR, told Fin24 that the latest downward cycle was still ongoing, with the </w:t>
      </w:r>
      <w:r w:rsidR="00FA1C1A">
        <w:rPr>
          <w:rFonts w:eastAsia="Times New Roman" w:cs="Arial"/>
          <w:lang w:eastAsia="en-ZA"/>
        </w:rPr>
        <w:t>“</w:t>
      </w:r>
      <w:r w:rsidRPr="00E4567F">
        <w:rPr>
          <w:rFonts w:eastAsia="Times New Roman" w:cs="Arial"/>
          <w:lang w:eastAsia="en-ZA"/>
        </w:rPr>
        <w:t>end</w:t>
      </w:r>
      <w:r w:rsidR="00FA1C1A">
        <w:rPr>
          <w:rFonts w:eastAsia="Times New Roman" w:cs="Arial"/>
          <w:lang w:eastAsia="en-ZA"/>
        </w:rPr>
        <w:t>”</w:t>
      </w:r>
      <w:r w:rsidRPr="00E4567F">
        <w:rPr>
          <w:rFonts w:eastAsia="Times New Roman" w:cs="Arial"/>
          <w:lang w:eastAsia="en-ZA"/>
        </w:rPr>
        <w:t xml:space="preserve"> still undetermined and, therefore, not yet part of the SARB data.</w:t>
      </w:r>
    </w:p>
    <w:p w14:paraId="51A789F9" w14:textId="42B55684" w:rsidR="00E4567F" w:rsidRPr="00E4567F" w:rsidRDefault="00E4567F" w:rsidP="00E4567F">
      <w:pPr>
        <w:spacing w:before="120" w:after="120"/>
        <w:jc w:val="both"/>
        <w:rPr>
          <w:rFonts w:eastAsia="Times New Roman" w:cs="Arial"/>
          <w:lang w:eastAsia="en-ZA"/>
        </w:rPr>
      </w:pPr>
      <w:r w:rsidRPr="00E4567F">
        <w:rPr>
          <w:rFonts w:eastAsia="Times New Roman" w:cs="Arial"/>
          <w:lang w:eastAsia="en-ZA"/>
        </w:rPr>
        <w:t xml:space="preserve">However, to be able to reflect a more complete picture of what is currently happening to the SA business cycle, Cruickshanks explained that the CRA </w:t>
      </w:r>
      <w:r w:rsidR="00FA1C1A">
        <w:rPr>
          <w:rFonts w:eastAsia="Times New Roman" w:cs="Arial"/>
          <w:lang w:eastAsia="en-ZA"/>
        </w:rPr>
        <w:t>“</w:t>
      </w:r>
      <w:r w:rsidRPr="00E4567F">
        <w:rPr>
          <w:rFonts w:eastAsia="Times New Roman" w:cs="Arial"/>
          <w:lang w:eastAsia="en-ZA"/>
        </w:rPr>
        <w:t>counted</w:t>
      </w:r>
      <w:r w:rsidR="00FA1C1A">
        <w:rPr>
          <w:rFonts w:eastAsia="Times New Roman" w:cs="Arial"/>
          <w:lang w:eastAsia="en-ZA"/>
        </w:rPr>
        <w:t>”</w:t>
      </w:r>
      <w:r w:rsidRPr="00E4567F">
        <w:rPr>
          <w:rFonts w:eastAsia="Times New Roman" w:cs="Arial"/>
          <w:lang w:eastAsia="en-ZA"/>
        </w:rPr>
        <w:t xml:space="preserve"> the number of months since December 2013 to date - 58 months in total.</w:t>
      </w:r>
    </w:p>
    <w:p w14:paraId="2364FB70" w14:textId="77777777" w:rsidR="00E4567F" w:rsidRPr="00E4567F" w:rsidRDefault="00E4567F" w:rsidP="00E4567F">
      <w:pPr>
        <w:spacing w:before="120" w:after="120"/>
        <w:jc w:val="both"/>
        <w:rPr>
          <w:rFonts w:eastAsia="Times New Roman" w:cs="Arial"/>
          <w:lang w:eastAsia="en-ZA"/>
        </w:rPr>
      </w:pPr>
      <w:r w:rsidRPr="00E4567F">
        <w:rPr>
          <w:rFonts w:eastAsia="Times New Roman" w:cs="Arial"/>
          <w:b/>
          <w:bCs/>
          <w:lang w:eastAsia="en-ZA"/>
        </w:rPr>
        <w:t>Downward cycle still ongoing</w:t>
      </w:r>
    </w:p>
    <w:p w14:paraId="740EB354" w14:textId="68644B9D" w:rsidR="00E4567F" w:rsidRPr="00E4567F" w:rsidRDefault="00FA1C1A" w:rsidP="00E4567F">
      <w:pPr>
        <w:spacing w:before="120" w:after="120"/>
        <w:jc w:val="both"/>
        <w:rPr>
          <w:rFonts w:eastAsia="Times New Roman" w:cs="Arial"/>
          <w:lang w:eastAsia="en-ZA"/>
        </w:rPr>
      </w:pPr>
      <w:r>
        <w:rPr>
          <w:rFonts w:eastAsia="Times New Roman" w:cs="Arial"/>
          <w:lang w:eastAsia="en-ZA"/>
        </w:rPr>
        <w:t>“</w:t>
      </w:r>
      <w:r w:rsidR="00E4567F" w:rsidRPr="00E4567F">
        <w:rPr>
          <w:rFonts w:eastAsia="Times New Roman" w:cs="Arial"/>
          <w:lang w:eastAsia="en-ZA"/>
        </w:rPr>
        <w:t>We call it an estimate as we cannot say how long the duration of the downward business cycle will still continue as it is still in progress,</w:t>
      </w:r>
      <w:r>
        <w:rPr>
          <w:rFonts w:eastAsia="Times New Roman" w:cs="Arial"/>
          <w:lang w:eastAsia="en-ZA"/>
        </w:rPr>
        <w:t>”</w:t>
      </w:r>
      <w:r w:rsidR="00E4567F" w:rsidRPr="00E4567F">
        <w:rPr>
          <w:rFonts w:eastAsia="Times New Roman" w:cs="Arial"/>
          <w:lang w:eastAsia="en-ZA"/>
        </w:rPr>
        <w:t xml:space="preserve"> he said.</w:t>
      </w:r>
    </w:p>
    <w:p w14:paraId="73028DD5" w14:textId="730E1FE5" w:rsidR="00E4567F" w:rsidRPr="00E4567F" w:rsidRDefault="00FA1C1A" w:rsidP="00E4567F">
      <w:pPr>
        <w:spacing w:before="120" w:after="120"/>
        <w:jc w:val="both"/>
        <w:rPr>
          <w:rFonts w:eastAsia="Times New Roman" w:cs="Arial"/>
          <w:lang w:eastAsia="en-ZA"/>
        </w:rPr>
      </w:pPr>
      <w:r>
        <w:rPr>
          <w:rFonts w:eastAsia="Times New Roman" w:cs="Arial"/>
          <w:lang w:eastAsia="en-ZA"/>
        </w:rPr>
        <w:t>“</w:t>
      </w:r>
      <w:r w:rsidR="00E4567F" w:rsidRPr="00E4567F">
        <w:rPr>
          <w:rFonts w:eastAsia="Times New Roman" w:cs="Arial"/>
          <w:lang w:eastAsia="en-ZA"/>
        </w:rPr>
        <w:t>What we wanted to be able to establish the length of this downward business cycle phase to compare it to previous downward phases.</w:t>
      </w:r>
      <w:r>
        <w:rPr>
          <w:rFonts w:eastAsia="Times New Roman" w:cs="Arial"/>
          <w:lang w:eastAsia="en-ZA"/>
        </w:rPr>
        <w:t>”</w:t>
      </w:r>
    </w:p>
    <w:p w14:paraId="44080902" w14:textId="7E2A9794" w:rsidR="00E4567F" w:rsidRPr="00E4567F" w:rsidRDefault="00E4567F" w:rsidP="00E4567F">
      <w:pPr>
        <w:spacing w:before="120" w:after="120"/>
        <w:jc w:val="both"/>
        <w:rPr>
          <w:rFonts w:eastAsia="Times New Roman" w:cs="Arial"/>
          <w:lang w:eastAsia="en-ZA"/>
        </w:rPr>
      </w:pPr>
      <w:r w:rsidRPr="00E4567F">
        <w:rPr>
          <w:rFonts w:eastAsia="Times New Roman" w:cs="Arial"/>
          <w:lang w:eastAsia="en-ZA"/>
        </w:rPr>
        <w:t xml:space="preserve">According to the CRA report, the SARB data defines growth cycles as representing </w:t>
      </w:r>
      <w:r w:rsidR="00FA1C1A">
        <w:rPr>
          <w:rFonts w:eastAsia="Times New Roman" w:cs="Arial"/>
          <w:lang w:eastAsia="en-ZA"/>
        </w:rPr>
        <w:t>“</w:t>
      </w:r>
      <w:r w:rsidRPr="00E4567F">
        <w:rPr>
          <w:rFonts w:eastAsia="Times New Roman" w:cs="Arial"/>
          <w:lang w:eastAsia="en-ZA"/>
        </w:rPr>
        <w:t>fluctuations around the long-term growth trend of aggregate economic activity</w:t>
      </w:r>
      <w:r w:rsidR="00FA1C1A">
        <w:rPr>
          <w:rFonts w:eastAsia="Times New Roman" w:cs="Arial"/>
          <w:lang w:eastAsia="en-ZA"/>
        </w:rPr>
        <w:t>”</w:t>
      </w:r>
      <w:r w:rsidRPr="00E4567F">
        <w:rPr>
          <w:rFonts w:eastAsia="Times New Roman" w:cs="Arial"/>
          <w:lang w:eastAsia="en-ZA"/>
        </w:rPr>
        <w:t>.</w:t>
      </w:r>
    </w:p>
    <w:p w14:paraId="034E6979" w14:textId="5AEC6354" w:rsidR="00E4567F" w:rsidRPr="00E4567F" w:rsidRDefault="00FA1C1A" w:rsidP="00E4567F">
      <w:pPr>
        <w:spacing w:before="120" w:after="120"/>
        <w:jc w:val="both"/>
        <w:rPr>
          <w:rFonts w:eastAsia="Times New Roman" w:cs="Arial"/>
          <w:lang w:eastAsia="en-ZA"/>
        </w:rPr>
      </w:pPr>
      <w:r>
        <w:rPr>
          <w:rFonts w:eastAsia="Times New Roman" w:cs="Arial"/>
          <w:lang w:eastAsia="en-ZA"/>
        </w:rPr>
        <w:t>“</w:t>
      </w:r>
      <w:r w:rsidR="00E4567F" w:rsidRPr="00E4567F">
        <w:rPr>
          <w:rFonts w:eastAsia="Times New Roman" w:cs="Arial"/>
          <w:lang w:eastAsia="en-ZA"/>
        </w:rPr>
        <w:t>The SARB determines upper (peaks) and lower (troughs) turning points in the business cycle in terms of the growth cycle definition of business cycles and not the classical definition,</w:t>
      </w:r>
      <w:r>
        <w:rPr>
          <w:rFonts w:eastAsia="Times New Roman" w:cs="Arial"/>
          <w:lang w:eastAsia="en-ZA"/>
        </w:rPr>
        <w:t>”</w:t>
      </w:r>
      <w:r w:rsidR="00E4567F" w:rsidRPr="00E4567F">
        <w:rPr>
          <w:rFonts w:eastAsia="Times New Roman" w:cs="Arial"/>
          <w:lang w:eastAsia="en-ZA"/>
        </w:rPr>
        <w:t xml:space="preserve"> explained Cruickshanks.</w:t>
      </w:r>
    </w:p>
    <w:p w14:paraId="7230EEF7" w14:textId="77777777" w:rsidR="00E4567F" w:rsidRPr="00E4567F" w:rsidRDefault="00E4567F" w:rsidP="00E4567F">
      <w:pPr>
        <w:spacing w:before="120" w:after="120"/>
        <w:jc w:val="both"/>
        <w:rPr>
          <w:rFonts w:eastAsia="Times New Roman" w:cs="Arial"/>
          <w:lang w:eastAsia="en-ZA"/>
        </w:rPr>
      </w:pPr>
      <w:r w:rsidRPr="00E4567F">
        <w:rPr>
          <w:rFonts w:eastAsia="Times New Roman" w:cs="Arial"/>
          <w:lang w:eastAsia="en-ZA"/>
        </w:rPr>
        <w:t>Classical business cycles refer to periods of absolute increase in aggregate economic activity, followed by periods of absolute decrease (recessions).</w:t>
      </w:r>
    </w:p>
    <w:p w14:paraId="5A4C79C9" w14:textId="77777777" w:rsidR="00E4567F" w:rsidRPr="00E4567F" w:rsidRDefault="00E4567F" w:rsidP="00E4567F">
      <w:pPr>
        <w:spacing w:before="120" w:after="120"/>
        <w:jc w:val="both"/>
        <w:rPr>
          <w:rFonts w:eastAsia="Times New Roman" w:cs="Arial"/>
          <w:lang w:eastAsia="en-ZA"/>
        </w:rPr>
      </w:pPr>
      <w:r w:rsidRPr="00E4567F">
        <w:rPr>
          <w:rFonts w:eastAsia="Times New Roman" w:cs="Arial"/>
          <w:lang w:eastAsia="en-ZA"/>
        </w:rPr>
        <w:t>SARB employs several statistical tools to establish whether a reference turning point in the SA business cycle has occurred and monitors these continuously.</w:t>
      </w:r>
    </w:p>
    <w:p w14:paraId="42E8EEC2" w14:textId="77777777" w:rsidR="00E4567F" w:rsidRPr="00E4567F" w:rsidRDefault="00E4567F" w:rsidP="00E4567F">
      <w:pPr>
        <w:spacing w:before="120" w:after="120"/>
        <w:jc w:val="both"/>
        <w:rPr>
          <w:rFonts w:eastAsia="Times New Roman" w:cs="Arial"/>
          <w:lang w:eastAsia="en-ZA"/>
        </w:rPr>
      </w:pPr>
      <w:r w:rsidRPr="00E4567F">
        <w:rPr>
          <w:rFonts w:eastAsia="Times New Roman" w:cs="Arial"/>
          <w:lang w:eastAsia="en-ZA"/>
        </w:rPr>
        <w:t>Cronjé pointed out that, as the most recent quarterly data has shown, there is relatively little life across any of the ten major sectors of the economy tracked by the CRA report.</w:t>
      </w:r>
    </w:p>
    <w:p w14:paraId="7D1C610A" w14:textId="77777777" w:rsidR="00E4567F" w:rsidRPr="00E4567F" w:rsidRDefault="00E4567F" w:rsidP="00E4567F">
      <w:pPr>
        <w:spacing w:before="120" w:after="120"/>
        <w:jc w:val="both"/>
        <w:rPr>
          <w:rFonts w:eastAsia="Times New Roman" w:cs="Arial"/>
          <w:lang w:eastAsia="en-ZA"/>
        </w:rPr>
      </w:pPr>
      <w:r w:rsidRPr="00E4567F">
        <w:rPr>
          <w:rFonts w:eastAsia="Times New Roman" w:cs="Arial"/>
          <w:b/>
          <w:bCs/>
          <w:lang w:eastAsia="en-ZA"/>
        </w:rPr>
        <w:t>Stimulus package</w:t>
      </w:r>
    </w:p>
    <w:p w14:paraId="44C3B14C" w14:textId="32C03599" w:rsidR="00E4567F" w:rsidRPr="00E4567F" w:rsidRDefault="00E4567F" w:rsidP="00E4567F">
      <w:pPr>
        <w:spacing w:before="120" w:after="120"/>
        <w:jc w:val="both"/>
        <w:rPr>
          <w:rFonts w:eastAsia="Times New Roman" w:cs="Arial"/>
          <w:lang w:eastAsia="en-ZA"/>
        </w:rPr>
      </w:pPr>
      <w:r w:rsidRPr="00E4567F">
        <w:rPr>
          <w:rFonts w:eastAsia="Times New Roman" w:cs="Arial"/>
          <w:lang w:eastAsia="en-ZA"/>
        </w:rPr>
        <w:t xml:space="preserve">He said the IRR was “alarmed” that the recent stimulus package announced by President Cyril Ramaphosa </w:t>
      </w:r>
      <w:r w:rsidR="00FA1C1A">
        <w:rPr>
          <w:rFonts w:eastAsia="Times New Roman" w:cs="Arial"/>
          <w:lang w:eastAsia="en-ZA"/>
        </w:rPr>
        <w:t>“</w:t>
      </w:r>
      <w:r w:rsidRPr="00E4567F">
        <w:rPr>
          <w:rFonts w:eastAsia="Times New Roman" w:cs="Arial"/>
          <w:lang w:eastAsia="en-ZA"/>
        </w:rPr>
        <w:t>fell short</w:t>
      </w:r>
      <w:r w:rsidR="00FA1C1A">
        <w:rPr>
          <w:rFonts w:eastAsia="Times New Roman" w:cs="Arial"/>
          <w:lang w:eastAsia="en-ZA"/>
        </w:rPr>
        <w:t>”</w:t>
      </w:r>
      <w:r w:rsidRPr="00E4567F">
        <w:rPr>
          <w:rFonts w:eastAsia="Times New Roman" w:cs="Arial"/>
          <w:lang w:eastAsia="en-ZA"/>
        </w:rPr>
        <w:t xml:space="preserve"> - in the view of the IRR - of what will be necessary to reignite the SA economy.</w:t>
      </w:r>
    </w:p>
    <w:p w14:paraId="22758368" w14:textId="11908CFA" w:rsidR="00E4567F" w:rsidRPr="00E4567F" w:rsidRDefault="00FA1C1A" w:rsidP="00E4567F">
      <w:pPr>
        <w:spacing w:before="120" w:after="120"/>
        <w:jc w:val="both"/>
        <w:rPr>
          <w:rFonts w:eastAsia="Times New Roman" w:cs="Arial"/>
          <w:lang w:eastAsia="en-ZA"/>
        </w:rPr>
      </w:pPr>
      <w:r>
        <w:rPr>
          <w:rFonts w:eastAsia="Times New Roman" w:cs="Arial"/>
          <w:lang w:eastAsia="en-ZA"/>
        </w:rPr>
        <w:t>“</w:t>
      </w:r>
      <w:r w:rsidR="00E4567F" w:rsidRPr="00E4567F">
        <w:rPr>
          <w:rFonts w:eastAsia="Times New Roman" w:cs="Arial"/>
          <w:lang w:eastAsia="en-ZA"/>
        </w:rPr>
        <w:t>The crisis SA faces is not one of inadequate government spending or insufficient stimulus, but rather one of an economy battered by a decade of hostile policy,</w:t>
      </w:r>
      <w:r>
        <w:rPr>
          <w:rFonts w:eastAsia="Times New Roman" w:cs="Arial"/>
          <w:lang w:eastAsia="en-ZA"/>
        </w:rPr>
        <w:t>”</w:t>
      </w:r>
      <w:r w:rsidR="00E4567F" w:rsidRPr="00E4567F">
        <w:rPr>
          <w:rFonts w:eastAsia="Times New Roman" w:cs="Arial"/>
          <w:lang w:eastAsia="en-ZA"/>
        </w:rPr>
        <w:t xml:space="preserve"> said Cronjé.</w:t>
      </w:r>
    </w:p>
    <w:p w14:paraId="113EFB9C" w14:textId="58DF0E41" w:rsidR="00E4567F" w:rsidRPr="00E4567F" w:rsidRDefault="00E4567F" w:rsidP="00E4567F">
      <w:pPr>
        <w:spacing w:before="120" w:after="120"/>
        <w:jc w:val="both"/>
        <w:rPr>
          <w:rFonts w:eastAsia="Times New Roman" w:cs="Arial"/>
          <w:lang w:eastAsia="en-ZA"/>
        </w:rPr>
      </w:pPr>
      <w:r w:rsidRPr="00E4567F">
        <w:rPr>
          <w:rFonts w:eastAsia="Times New Roman" w:cs="Arial"/>
          <w:lang w:eastAsia="en-ZA"/>
        </w:rPr>
        <w:t xml:space="preserve">In his view, the best </w:t>
      </w:r>
      <w:r w:rsidR="00FA1C1A">
        <w:rPr>
          <w:rFonts w:eastAsia="Times New Roman" w:cs="Arial"/>
          <w:lang w:eastAsia="en-ZA"/>
        </w:rPr>
        <w:t>“</w:t>
      </w:r>
      <w:r w:rsidRPr="00E4567F">
        <w:rPr>
          <w:rFonts w:eastAsia="Times New Roman" w:cs="Arial"/>
          <w:lang w:eastAsia="en-ZA"/>
        </w:rPr>
        <w:t>and only</w:t>
      </w:r>
      <w:r w:rsidR="00FA1C1A">
        <w:rPr>
          <w:rFonts w:eastAsia="Times New Roman" w:cs="Arial"/>
          <w:lang w:eastAsia="en-ZA"/>
        </w:rPr>
        <w:t>”</w:t>
      </w:r>
      <w:r w:rsidRPr="00E4567F">
        <w:rPr>
          <w:rFonts w:eastAsia="Times New Roman" w:cs="Arial"/>
          <w:lang w:eastAsia="en-ZA"/>
        </w:rPr>
        <w:t xml:space="preserve"> real </w:t>
      </w:r>
      <w:r w:rsidR="00FA1C1A">
        <w:rPr>
          <w:rFonts w:eastAsia="Times New Roman" w:cs="Arial"/>
          <w:lang w:eastAsia="en-ZA"/>
        </w:rPr>
        <w:t>“</w:t>
      </w:r>
      <w:r w:rsidRPr="00E4567F">
        <w:rPr>
          <w:rFonts w:eastAsia="Times New Roman" w:cs="Arial"/>
          <w:lang w:eastAsia="en-ZA"/>
        </w:rPr>
        <w:t>stimulus</w:t>
      </w:r>
      <w:r w:rsidR="00FA1C1A">
        <w:rPr>
          <w:rFonts w:eastAsia="Times New Roman" w:cs="Arial"/>
          <w:lang w:eastAsia="en-ZA"/>
        </w:rPr>
        <w:t>”</w:t>
      </w:r>
      <w:r w:rsidRPr="00E4567F">
        <w:rPr>
          <w:rFonts w:eastAsia="Times New Roman" w:cs="Arial"/>
          <w:lang w:eastAsia="en-ZA"/>
        </w:rPr>
        <w:t xml:space="preserve"> package open to the SA government is, therefore, one of policy reform.</w:t>
      </w:r>
    </w:p>
    <w:p w14:paraId="216654CA" w14:textId="77777777" w:rsidR="00E4567F" w:rsidRPr="00E4567F" w:rsidRDefault="00E4567F" w:rsidP="00E4567F">
      <w:pPr>
        <w:spacing w:before="120" w:after="120"/>
        <w:jc w:val="both"/>
        <w:rPr>
          <w:rFonts w:eastAsia="Times New Roman" w:cs="Arial"/>
          <w:lang w:eastAsia="en-ZA"/>
        </w:rPr>
      </w:pPr>
      <w:r w:rsidRPr="00E4567F">
        <w:rPr>
          <w:rFonts w:eastAsia="Times New Roman" w:cs="Arial"/>
          <w:lang w:eastAsia="en-ZA"/>
        </w:rPr>
        <w:t>Economist Mike Schüssler told Fin24 that he agreed with the CRA report about SA likely being in the longest downward business cycle in 80 years - if not even longer, in his view.</w:t>
      </w:r>
    </w:p>
    <w:p w14:paraId="6DCF86E5" w14:textId="77777777" w:rsidR="00E4567F" w:rsidRPr="00E4567F" w:rsidRDefault="00E4567F" w:rsidP="00E4567F">
      <w:pPr>
        <w:spacing w:before="120" w:after="120"/>
        <w:jc w:val="both"/>
        <w:rPr>
          <w:rFonts w:eastAsia="Times New Roman" w:cs="Arial"/>
          <w:lang w:eastAsia="en-ZA"/>
        </w:rPr>
      </w:pPr>
      <w:r w:rsidRPr="00E4567F">
        <w:rPr>
          <w:rFonts w:eastAsia="Times New Roman" w:cs="Arial"/>
          <w:lang w:eastAsia="en-ZA"/>
        </w:rPr>
        <w:t>He too pointed out that the business cycle was more than just measuring gross domestic product (GDP). For the business cycle one looks at GDP in relation to leading, current and lagging indicators.</w:t>
      </w:r>
    </w:p>
    <w:p w14:paraId="4D770443" w14:textId="2C49E257" w:rsidR="00E4567F" w:rsidRPr="00E4567F" w:rsidRDefault="00FA1C1A" w:rsidP="00E4567F">
      <w:pPr>
        <w:spacing w:before="120" w:after="120"/>
        <w:jc w:val="both"/>
        <w:rPr>
          <w:rFonts w:eastAsia="Times New Roman" w:cs="Arial"/>
          <w:lang w:eastAsia="en-ZA"/>
        </w:rPr>
      </w:pPr>
      <w:r>
        <w:rPr>
          <w:rFonts w:eastAsia="Times New Roman" w:cs="Arial"/>
          <w:lang w:eastAsia="en-ZA"/>
        </w:rPr>
        <w:lastRenderedPageBreak/>
        <w:t>“</w:t>
      </w:r>
      <w:r w:rsidR="00E4567F" w:rsidRPr="00E4567F">
        <w:rPr>
          <w:rFonts w:eastAsia="Times New Roman" w:cs="Arial"/>
          <w:lang w:eastAsia="en-ZA"/>
        </w:rPr>
        <w:t>It looks at a host of things, and basically means SA is growing below potential and that it is not something we can easily fix,</w:t>
      </w:r>
      <w:r>
        <w:rPr>
          <w:rFonts w:eastAsia="Times New Roman" w:cs="Arial"/>
          <w:lang w:eastAsia="en-ZA"/>
        </w:rPr>
        <w:t>”</w:t>
      </w:r>
      <w:r w:rsidR="00E4567F" w:rsidRPr="00E4567F">
        <w:rPr>
          <w:rFonts w:eastAsia="Times New Roman" w:cs="Arial"/>
          <w:lang w:eastAsia="en-ZA"/>
        </w:rPr>
        <w:t xml:space="preserve"> said Schüssler.</w:t>
      </w:r>
    </w:p>
    <w:p w14:paraId="69EB6EF4" w14:textId="469EFAC5" w:rsidR="00E4567F" w:rsidRPr="00E4567F" w:rsidRDefault="00FA1C1A" w:rsidP="00E4567F">
      <w:pPr>
        <w:spacing w:before="120" w:after="120"/>
        <w:jc w:val="both"/>
        <w:rPr>
          <w:rFonts w:eastAsia="Times New Roman" w:cs="Arial"/>
          <w:lang w:eastAsia="en-ZA"/>
        </w:rPr>
      </w:pPr>
      <w:r>
        <w:rPr>
          <w:rFonts w:eastAsia="Times New Roman" w:cs="Arial"/>
          <w:lang w:eastAsia="en-ZA"/>
        </w:rPr>
        <w:t>“</w:t>
      </w:r>
      <w:r w:rsidR="00E4567F" w:rsidRPr="00E4567F">
        <w:rPr>
          <w:rFonts w:eastAsia="Times New Roman" w:cs="Arial"/>
          <w:lang w:eastAsia="en-ZA"/>
        </w:rPr>
        <w:t>When you are down this long, it indicates a structural problem, which cannot just be fixed with interest rates or government spending.</w:t>
      </w:r>
      <w:r>
        <w:rPr>
          <w:rFonts w:eastAsia="Times New Roman" w:cs="Arial"/>
          <w:lang w:eastAsia="en-ZA"/>
        </w:rPr>
        <w:t>”</w:t>
      </w:r>
    </w:p>
    <w:p w14:paraId="080C8712" w14:textId="77777777" w:rsidR="00E4567F" w:rsidRPr="00E4567F" w:rsidRDefault="00E4567F" w:rsidP="00E4567F">
      <w:pPr>
        <w:spacing w:before="120" w:after="120"/>
        <w:jc w:val="both"/>
        <w:rPr>
          <w:rFonts w:eastAsia="Times New Roman" w:cs="Arial"/>
          <w:lang w:eastAsia="en-ZA"/>
        </w:rPr>
      </w:pPr>
      <w:r w:rsidRPr="00E4567F">
        <w:rPr>
          <w:rFonts w:eastAsia="Times New Roman" w:cs="Arial"/>
          <w:lang w:eastAsia="en-ZA"/>
        </w:rPr>
        <w:t>For him the question now becomes how long this downward cycle will still last.</w:t>
      </w:r>
    </w:p>
    <w:p w14:paraId="63A67DC0" w14:textId="712DA34B" w:rsidR="00E4567F" w:rsidRPr="00E4567F" w:rsidRDefault="00FA1C1A" w:rsidP="00E4567F">
      <w:pPr>
        <w:spacing w:before="120" w:after="120"/>
        <w:jc w:val="both"/>
        <w:rPr>
          <w:rFonts w:eastAsia="Times New Roman" w:cs="Arial"/>
          <w:lang w:eastAsia="en-ZA"/>
        </w:rPr>
      </w:pPr>
      <w:r>
        <w:rPr>
          <w:rFonts w:eastAsia="Times New Roman" w:cs="Arial"/>
          <w:lang w:eastAsia="en-ZA"/>
        </w:rPr>
        <w:t>“</w:t>
      </w:r>
      <w:r w:rsidR="00E4567F" w:rsidRPr="00E4567F">
        <w:rPr>
          <w:rFonts w:eastAsia="Times New Roman" w:cs="Arial"/>
          <w:lang w:eastAsia="en-ZA"/>
        </w:rPr>
        <w:t>It is quite frightening, because the rest of the world is showing an upward trend, while we are not,</w:t>
      </w:r>
      <w:r>
        <w:rPr>
          <w:rFonts w:eastAsia="Times New Roman" w:cs="Arial"/>
          <w:lang w:eastAsia="en-ZA"/>
        </w:rPr>
        <w:t>”</w:t>
      </w:r>
      <w:r w:rsidR="00E4567F" w:rsidRPr="00E4567F">
        <w:rPr>
          <w:rFonts w:eastAsia="Times New Roman" w:cs="Arial"/>
          <w:lang w:eastAsia="en-ZA"/>
        </w:rPr>
        <w:t xml:space="preserve"> said Schüssler.</w:t>
      </w:r>
    </w:p>
    <w:p w14:paraId="05332225" w14:textId="47C1BA3E" w:rsidR="00E4567F" w:rsidRPr="00E4567F" w:rsidRDefault="00FA1C1A" w:rsidP="00E4567F">
      <w:pPr>
        <w:spacing w:before="120" w:after="120"/>
        <w:jc w:val="both"/>
        <w:rPr>
          <w:rFonts w:eastAsia="Times New Roman" w:cs="Arial"/>
          <w:lang w:eastAsia="en-ZA"/>
        </w:rPr>
      </w:pPr>
      <w:r>
        <w:rPr>
          <w:rFonts w:eastAsia="Times New Roman" w:cs="Arial"/>
          <w:lang w:eastAsia="en-ZA"/>
        </w:rPr>
        <w:t>“</w:t>
      </w:r>
      <w:r w:rsidR="00E4567F" w:rsidRPr="00E4567F">
        <w:rPr>
          <w:rFonts w:eastAsia="Times New Roman" w:cs="Arial"/>
          <w:lang w:eastAsia="en-ZA"/>
        </w:rPr>
        <w:t>We cannot afford this. In downward cycles, not enough jobs are created no matter what government does.</w:t>
      </w:r>
      <w:r>
        <w:rPr>
          <w:rFonts w:eastAsia="Times New Roman" w:cs="Arial"/>
          <w:lang w:eastAsia="en-ZA"/>
        </w:rPr>
        <w:t>”</w:t>
      </w:r>
    </w:p>
    <w:p w14:paraId="15B18E6E" w14:textId="77777777" w:rsidR="00E4567F" w:rsidRPr="00E4567F" w:rsidRDefault="00E4567F" w:rsidP="00E4567F">
      <w:pPr>
        <w:spacing w:before="120" w:after="120"/>
        <w:jc w:val="both"/>
        <w:rPr>
          <w:rFonts w:eastAsia="Times New Roman" w:cs="Arial"/>
          <w:lang w:eastAsia="en-ZA"/>
        </w:rPr>
      </w:pPr>
      <w:r w:rsidRPr="00E4567F">
        <w:rPr>
          <w:rFonts w:eastAsia="Times New Roman" w:cs="Arial"/>
          <w:lang w:eastAsia="en-ZA"/>
        </w:rPr>
        <w:t>He pointed out, though, that one must keep in mind that a downward phase of the business cycle does not mean the economy is in a recession. It means it is performing below its normal growth potential.</w:t>
      </w:r>
    </w:p>
    <w:p w14:paraId="57B1D326" w14:textId="77777777" w:rsidR="00E4567F" w:rsidRPr="00E4567F" w:rsidRDefault="00E4567F" w:rsidP="00E4567F">
      <w:pPr>
        <w:jc w:val="center"/>
        <w:rPr>
          <w:rFonts w:ascii="Times New Roman" w:eastAsia="Times New Roman" w:hAnsi="Times New Roman" w:cs="Times New Roman"/>
          <w:sz w:val="24"/>
          <w:szCs w:val="24"/>
          <w:lang w:eastAsia="en-ZA"/>
        </w:rPr>
      </w:pPr>
      <w:r w:rsidRPr="00E4567F">
        <w:rPr>
          <w:rFonts w:ascii="Times New Roman" w:eastAsia="Times New Roman" w:hAnsi="Times New Roman" w:cs="Times New Roman"/>
          <w:noProof/>
          <w:sz w:val="24"/>
          <w:szCs w:val="24"/>
          <w:lang w:eastAsia="en-ZA"/>
        </w:rPr>
        <w:drawing>
          <wp:inline distT="0" distB="0" distL="0" distR="0" wp14:anchorId="51719FCA" wp14:editId="0F0BDDCE">
            <wp:extent cx="5242560" cy="3383280"/>
            <wp:effectExtent l="0" t="0" r="0" b="7620"/>
            <wp:docPr id="6" name="Picture 6" descr="downcyc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owncycle"/>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242560" cy="3383280"/>
                    </a:xfrm>
                    <a:prstGeom prst="rect">
                      <a:avLst/>
                    </a:prstGeom>
                    <a:noFill/>
                    <a:ln>
                      <a:noFill/>
                    </a:ln>
                  </pic:spPr>
                </pic:pic>
              </a:graphicData>
            </a:graphic>
          </wp:inline>
        </w:drawing>
      </w:r>
    </w:p>
    <w:p w14:paraId="54A5A44B" w14:textId="4889B2C0" w:rsidR="00E4567F" w:rsidRDefault="00E4567F"/>
    <w:p w14:paraId="659B4B76" w14:textId="71BE8044" w:rsidR="00E4567F" w:rsidRDefault="00FA1C1A">
      <w:hyperlink r:id="rId11" w:history="1">
        <w:r w:rsidR="00E4567F" w:rsidRPr="00EF636E">
          <w:rPr>
            <w:rStyle w:val="Hyperlink"/>
          </w:rPr>
          <w:t>https://www.news24.com/fin24/Economy/sa-in-longest-downward-business-cycle-since-1945-report-20181008</w:t>
        </w:r>
      </w:hyperlink>
    </w:p>
    <w:p w14:paraId="66DA7FEC" w14:textId="670F2DA5" w:rsidR="00E4567F" w:rsidRDefault="00E4567F">
      <w:r>
        <w:br w:type="page"/>
      </w:r>
    </w:p>
    <w:p w14:paraId="5C0F5CA0" w14:textId="77777777" w:rsidR="00E4567F" w:rsidRPr="00E4567F" w:rsidRDefault="00E4567F" w:rsidP="00E4567F">
      <w:pPr>
        <w:spacing w:before="120" w:after="120"/>
        <w:jc w:val="both"/>
        <w:outlineLvl w:val="0"/>
        <w:rPr>
          <w:rFonts w:eastAsia="Times New Roman" w:cs="Arial"/>
          <w:b/>
          <w:bCs/>
          <w:kern w:val="36"/>
          <w:sz w:val="28"/>
          <w:szCs w:val="28"/>
          <w:lang w:eastAsia="en-ZA"/>
        </w:rPr>
      </w:pPr>
      <w:r w:rsidRPr="00E4567F">
        <w:rPr>
          <w:rFonts w:eastAsia="Times New Roman" w:cs="Arial"/>
          <w:b/>
          <w:bCs/>
          <w:kern w:val="36"/>
          <w:sz w:val="28"/>
          <w:szCs w:val="28"/>
          <w:lang w:eastAsia="en-ZA"/>
        </w:rPr>
        <w:lastRenderedPageBreak/>
        <w:t>South Africa moves out of recession</w:t>
      </w:r>
    </w:p>
    <w:p w14:paraId="546140B6" w14:textId="77777777" w:rsidR="00E4567F" w:rsidRPr="00E4567F" w:rsidRDefault="00FA1C1A" w:rsidP="00E4567F">
      <w:pPr>
        <w:spacing w:before="120" w:after="120"/>
        <w:jc w:val="both"/>
        <w:rPr>
          <w:rFonts w:eastAsia="Times New Roman" w:cs="Arial"/>
          <w:lang w:eastAsia="en-ZA"/>
        </w:rPr>
      </w:pPr>
      <w:hyperlink r:id="rId12" w:tooltip="Posts by Staff Writer" w:history="1">
        <w:r w:rsidR="00E4567F" w:rsidRPr="00E4567F">
          <w:rPr>
            <w:rFonts w:eastAsia="Times New Roman" w:cs="Arial"/>
            <w:color w:val="0000FF"/>
            <w:u w:val="single"/>
            <w:lang w:eastAsia="en-ZA"/>
          </w:rPr>
          <w:t>Staff Writer</w:t>
        </w:r>
      </w:hyperlink>
      <w:r w:rsidR="00E4567F" w:rsidRPr="00E4567F">
        <w:rPr>
          <w:rFonts w:eastAsia="Times New Roman" w:cs="Arial"/>
          <w:lang w:eastAsia="en-ZA"/>
        </w:rPr>
        <w:t>4 December 2018</w:t>
      </w:r>
    </w:p>
    <w:p w14:paraId="31FC771C" w14:textId="77777777" w:rsidR="00E4567F" w:rsidRPr="00E4567F" w:rsidRDefault="00E4567F" w:rsidP="00E4567F">
      <w:pPr>
        <w:spacing w:before="120" w:after="120"/>
        <w:jc w:val="both"/>
        <w:rPr>
          <w:rFonts w:eastAsia="Times New Roman" w:cs="Arial"/>
          <w:lang w:eastAsia="en-ZA"/>
        </w:rPr>
      </w:pPr>
      <w:r w:rsidRPr="00E4567F">
        <w:rPr>
          <w:rFonts w:eastAsia="Times New Roman" w:cs="Arial"/>
          <w:noProof/>
          <w:color w:val="0000FF"/>
          <w:lang w:eastAsia="en-ZA"/>
        </w:rPr>
        <w:drawing>
          <wp:inline distT="0" distB="0" distL="0" distR="0" wp14:anchorId="39F7F98F" wp14:editId="792DACD3">
            <wp:extent cx="5715000" cy="3810000"/>
            <wp:effectExtent l="0" t="0" r="0" b="0"/>
            <wp:docPr id="7" name="Picture 7">
              <a:hlinkClick xmlns:a="http://schemas.openxmlformats.org/drawingml/2006/main" r:id="rId1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a:hlinkClick r:id="rId13"/>
                    </pic:cNvPr>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15000" cy="3810000"/>
                    </a:xfrm>
                    <a:prstGeom prst="rect">
                      <a:avLst/>
                    </a:prstGeom>
                    <a:noFill/>
                    <a:ln>
                      <a:noFill/>
                    </a:ln>
                  </pic:spPr>
                </pic:pic>
              </a:graphicData>
            </a:graphic>
          </wp:inline>
        </w:drawing>
      </w:r>
    </w:p>
    <w:p w14:paraId="3D7243B7" w14:textId="77777777" w:rsidR="00E4567F" w:rsidRPr="00E4567F" w:rsidRDefault="00E4567F" w:rsidP="00E4567F">
      <w:pPr>
        <w:pBdr>
          <w:bottom w:val="single" w:sz="6" w:space="1" w:color="auto"/>
        </w:pBdr>
        <w:spacing w:before="120" w:after="120"/>
        <w:jc w:val="both"/>
        <w:rPr>
          <w:rFonts w:eastAsia="Times New Roman" w:cs="Arial"/>
          <w:vanish/>
          <w:lang w:eastAsia="en-ZA"/>
        </w:rPr>
      </w:pPr>
      <w:r w:rsidRPr="00E4567F">
        <w:rPr>
          <w:rFonts w:eastAsia="Times New Roman" w:cs="Arial"/>
          <w:vanish/>
          <w:lang w:eastAsia="en-ZA"/>
        </w:rPr>
        <w:t>Top of Form</w:t>
      </w:r>
    </w:p>
    <w:p w14:paraId="639C9573" w14:textId="77777777" w:rsidR="00E4567F" w:rsidRPr="00E4567F" w:rsidRDefault="00E4567F" w:rsidP="00E4567F">
      <w:pPr>
        <w:pBdr>
          <w:top w:val="single" w:sz="6" w:space="1" w:color="auto"/>
        </w:pBdr>
        <w:spacing w:before="120" w:after="120"/>
        <w:jc w:val="both"/>
        <w:rPr>
          <w:rFonts w:eastAsia="Times New Roman" w:cs="Arial"/>
          <w:vanish/>
          <w:lang w:eastAsia="en-ZA"/>
        </w:rPr>
      </w:pPr>
      <w:r w:rsidRPr="00E4567F">
        <w:rPr>
          <w:rFonts w:eastAsia="Times New Roman" w:cs="Arial"/>
          <w:vanish/>
          <w:lang w:eastAsia="en-ZA"/>
        </w:rPr>
        <w:t>Bottom of Form</w:t>
      </w:r>
    </w:p>
    <w:p w14:paraId="091E520B" w14:textId="77777777" w:rsidR="00E4567F" w:rsidRPr="00E4567F" w:rsidRDefault="00E4567F" w:rsidP="00E4567F">
      <w:pPr>
        <w:pBdr>
          <w:bottom w:val="single" w:sz="6" w:space="1" w:color="auto"/>
        </w:pBdr>
        <w:spacing w:before="120" w:after="120"/>
        <w:jc w:val="both"/>
        <w:rPr>
          <w:rFonts w:eastAsia="Times New Roman" w:cs="Arial"/>
          <w:vanish/>
          <w:lang w:eastAsia="en-ZA"/>
        </w:rPr>
      </w:pPr>
      <w:r w:rsidRPr="00E4567F">
        <w:rPr>
          <w:rFonts w:eastAsia="Times New Roman" w:cs="Arial"/>
          <w:vanish/>
          <w:lang w:eastAsia="en-ZA"/>
        </w:rPr>
        <w:t>Top of Form</w:t>
      </w:r>
    </w:p>
    <w:p w14:paraId="6B3E2DBC" w14:textId="77777777" w:rsidR="00E4567F" w:rsidRPr="00E4567F" w:rsidRDefault="00E4567F" w:rsidP="00E4567F">
      <w:pPr>
        <w:pBdr>
          <w:top w:val="single" w:sz="6" w:space="1" w:color="auto"/>
        </w:pBdr>
        <w:spacing w:before="120" w:after="120"/>
        <w:jc w:val="both"/>
        <w:rPr>
          <w:rFonts w:eastAsia="Times New Roman" w:cs="Arial"/>
          <w:vanish/>
          <w:lang w:eastAsia="en-ZA"/>
        </w:rPr>
      </w:pPr>
      <w:r w:rsidRPr="00E4567F">
        <w:rPr>
          <w:rFonts w:eastAsia="Times New Roman" w:cs="Arial"/>
          <w:vanish/>
          <w:lang w:eastAsia="en-ZA"/>
        </w:rPr>
        <w:t>Bottom of Form</w:t>
      </w:r>
    </w:p>
    <w:p w14:paraId="4B6D78E9" w14:textId="77777777" w:rsidR="00E4567F" w:rsidRPr="00E4567F" w:rsidRDefault="00E4567F" w:rsidP="00E4567F">
      <w:pPr>
        <w:spacing w:before="120" w:after="120"/>
        <w:jc w:val="both"/>
        <w:rPr>
          <w:rFonts w:eastAsia="Times New Roman" w:cs="Arial"/>
          <w:lang w:eastAsia="en-ZA"/>
        </w:rPr>
      </w:pPr>
      <w:r w:rsidRPr="00E4567F">
        <w:rPr>
          <w:rFonts w:eastAsia="Times New Roman" w:cs="Arial"/>
          <w:lang w:eastAsia="en-ZA"/>
        </w:rPr>
        <w:t>StatsSA has published the latest GDP data for South Africa, showing that the country’s economy grew by 2.2% in the three months through September compared with a revised 0.4% contraction in the prior quarter.</w:t>
      </w:r>
    </w:p>
    <w:p w14:paraId="41C466F9" w14:textId="77777777" w:rsidR="00E4567F" w:rsidRPr="00E4567F" w:rsidRDefault="00E4567F" w:rsidP="00E4567F">
      <w:pPr>
        <w:spacing w:before="120" w:after="120"/>
        <w:jc w:val="both"/>
        <w:rPr>
          <w:rFonts w:eastAsia="Times New Roman" w:cs="Arial"/>
          <w:lang w:eastAsia="en-ZA"/>
        </w:rPr>
      </w:pPr>
      <w:r w:rsidRPr="00E4567F">
        <w:rPr>
          <w:rFonts w:eastAsia="Times New Roman" w:cs="Arial"/>
          <w:lang w:eastAsia="en-ZA"/>
        </w:rPr>
        <w:t>According to the stats body, the economic growth in the third quarter was largely driven by the manufacturing, transport and finance industries.</w:t>
      </w:r>
    </w:p>
    <w:p w14:paraId="26AF409D" w14:textId="77777777" w:rsidR="00E4567F" w:rsidRPr="00E4567F" w:rsidRDefault="00E4567F" w:rsidP="00E4567F">
      <w:pPr>
        <w:spacing w:before="120" w:after="120"/>
        <w:jc w:val="both"/>
        <w:rPr>
          <w:rFonts w:eastAsia="Times New Roman" w:cs="Arial"/>
          <w:lang w:eastAsia="en-ZA"/>
        </w:rPr>
      </w:pPr>
      <w:r w:rsidRPr="00E4567F">
        <w:rPr>
          <w:rFonts w:eastAsia="Times New Roman" w:cs="Arial"/>
          <w:lang w:eastAsia="en-ZA"/>
        </w:rPr>
        <w:t>The primary sector contracted by 5.4% in Q3:2018, driven by decreased mining production in platinum group metals, iron ore, gold, copper and nickel. Agriculture was up by 6.5%.</w:t>
      </w:r>
    </w:p>
    <w:p w14:paraId="2C4E9EED" w14:textId="77777777" w:rsidR="00E4567F" w:rsidRPr="00E4567F" w:rsidRDefault="00E4567F" w:rsidP="00E4567F">
      <w:pPr>
        <w:spacing w:before="120" w:after="120"/>
        <w:jc w:val="both"/>
        <w:rPr>
          <w:rFonts w:eastAsia="Times New Roman" w:cs="Arial"/>
          <w:lang w:eastAsia="en-ZA"/>
        </w:rPr>
      </w:pPr>
      <w:r w:rsidRPr="00E4567F">
        <w:rPr>
          <w:rFonts w:eastAsia="Times New Roman" w:cs="Arial"/>
          <w:lang w:eastAsia="en-ZA"/>
        </w:rPr>
        <w:t>The secondary sector grew by 4.5%, largely driven by manufacturing in basic iron and steel, metal products and machinery; petroleum and chemicals; wood and paper; and motor vehicles.</w:t>
      </w:r>
    </w:p>
    <w:p w14:paraId="5F33C668" w14:textId="77777777" w:rsidR="00E4567F" w:rsidRPr="00E4567F" w:rsidRDefault="00E4567F" w:rsidP="00E4567F">
      <w:pPr>
        <w:spacing w:before="120" w:after="120"/>
        <w:jc w:val="both"/>
        <w:rPr>
          <w:rFonts w:eastAsia="Times New Roman" w:cs="Arial"/>
          <w:lang w:eastAsia="en-ZA"/>
        </w:rPr>
      </w:pPr>
      <w:r w:rsidRPr="00E4567F">
        <w:rPr>
          <w:rFonts w:eastAsia="Times New Roman" w:cs="Arial"/>
          <w:lang w:eastAsia="en-ZA"/>
        </w:rPr>
        <w:t>Manufacturing grew by 7.5% quarter on quarter, contributing 0.9 percentage points to the quarterly growth.</w:t>
      </w:r>
    </w:p>
    <w:p w14:paraId="604F7B97" w14:textId="77777777" w:rsidR="00E4567F" w:rsidRPr="00E4567F" w:rsidRDefault="00E4567F" w:rsidP="00E4567F">
      <w:pPr>
        <w:spacing w:before="120" w:after="120"/>
        <w:jc w:val="both"/>
        <w:rPr>
          <w:rFonts w:eastAsia="Times New Roman" w:cs="Arial"/>
          <w:lang w:eastAsia="en-ZA"/>
        </w:rPr>
      </w:pPr>
      <w:r w:rsidRPr="00E4567F">
        <w:rPr>
          <w:rFonts w:eastAsia="Times New Roman" w:cs="Arial"/>
          <w:lang w:eastAsia="en-ZA"/>
        </w:rPr>
        <w:t>The tertiary sector, meanwhile, grew by 2.6%, with stronger wholesale and retail trade, and increased activity in freight transport.</w:t>
      </w:r>
    </w:p>
    <w:p w14:paraId="64453AB4" w14:textId="77777777" w:rsidR="00E4567F" w:rsidRPr="00E4567F" w:rsidRDefault="00E4567F" w:rsidP="00E4567F">
      <w:pPr>
        <w:spacing w:before="120" w:after="120"/>
        <w:jc w:val="both"/>
        <w:rPr>
          <w:rFonts w:eastAsia="Times New Roman" w:cs="Arial"/>
          <w:lang w:eastAsia="en-ZA"/>
        </w:rPr>
      </w:pPr>
      <w:r w:rsidRPr="00E4567F">
        <w:rPr>
          <w:rFonts w:eastAsia="Times New Roman" w:cs="Arial"/>
          <w:lang w:eastAsia="en-ZA"/>
        </w:rPr>
        <w:t>The rand gained against the major currencies:</w:t>
      </w:r>
    </w:p>
    <w:p w14:paraId="4EE9E5FA" w14:textId="77777777" w:rsidR="00E4567F" w:rsidRPr="00E4567F" w:rsidRDefault="00E4567F" w:rsidP="00E4567F">
      <w:pPr>
        <w:numPr>
          <w:ilvl w:val="0"/>
          <w:numId w:val="4"/>
        </w:numPr>
        <w:spacing w:before="120" w:after="120"/>
        <w:jc w:val="both"/>
        <w:rPr>
          <w:rFonts w:eastAsia="Times New Roman" w:cs="Arial"/>
          <w:lang w:eastAsia="en-ZA"/>
        </w:rPr>
      </w:pPr>
      <w:r w:rsidRPr="00E4567F">
        <w:rPr>
          <w:rFonts w:eastAsia="Times New Roman" w:cs="Arial"/>
          <w:lang w:eastAsia="en-ZA"/>
        </w:rPr>
        <w:t>Dollar/Rand: R13.55  (-1.08%)</w:t>
      </w:r>
    </w:p>
    <w:p w14:paraId="7E2898CF" w14:textId="77777777" w:rsidR="00E4567F" w:rsidRPr="00E4567F" w:rsidRDefault="00E4567F" w:rsidP="00E4567F">
      <w:pPr>
        <w:numPr>
          <w:ilvl w:val="0"/>
          <w:numId w:val="4"/>
        </w:numPr>
        <w:spacing w:before="120" w:after="120"/>
        <w:jc w:val="both"/>
        <w:rPr>
          <w:rFonts w:eastAsia="Times New Roman" w:cs="Arial"/>
          <w:lang w:eastAsia="en-ZA"/>
        </w:rPr>
      </w:pPr>
      <w:r w:rsidRPr="00E4567F">
        <w:rPr>
          <w:rFonts w:eastAsia="Times New Roman" w:cs="Arial"/>
          <w:lang w:eastAsia="en-ZA"/>
        </w:rPr>
        <w:t>Pound/Rand: R17.35  (-0.35%)</w:t>
      </w:r>
    </w:p>
    <w:p w14:paraId="767B3A1A" w14:textId="77777777" w:rsidR="00E4567F" w:rsidRPr="00E4567F" w:rsidRDefault="00E4567F" w:rsidP="00E4567F">
      <w:pPr>
        <w:numPr>
          <w:ilvl w:val="0"/>
          <w:numId w:val="4"/>
        </w:numPr>
        <w:spacing w:before="120" w:after="120"/>
        <w:jc w:val="both"/>
        <w:rPr>
          <w:rFonts w:eastAsia="Times New Roman" w:cs="Arial"/>
          <w:lang w:eastAsia="en-ZA"/>
        </w:rPr>
      </w:pPr>
      <w:r w:rsidRPr="00E4567F">
        <w:rPr>
          <w:rFonts w:eastAsia="Times New Roman" w:cs="Arial"/>
          <w:lang w:eastAsia="en-ZA"/>
        </w:rPr>
        <w:t>Euro/Rand: R15.46  (-0.57%)</w:t>
      </w:r>
    </w:p>
    <w:p w14:paraId="7070EFDA" w14:textId="77777777" w:rsidR="00E4567F" w:rsidRPr="00E4567F" w:rsidRDefault="00E4567F" w:rsidP="00E4567F">
      <w:pPr>
        <w:spacing w:before="120" w:after="120"/>
        <w:jc w:val="both"/>
        <w:rPr>
          <w:rFonts w:eastAsia="Times New Roman" w:cs="Arial"/>
          <w:lang w:eastAsia="en-ZA"/>
        </w:rPr>
      </w:pPr>
      <w:r w:rsidRPr="00E4567F">
        <w:rPr>
          <w:rFonts w:eastAsia="Times New Roman" w:cs="Arial"/>
          <w:noProof/>
          <w:color w:val="0000FF"/>
          <w:lang w:eastAsia="en-ZA"/>
        </w:rPr>
        <w:lastRenderedPageBreak/>
        <w:drawing>
          <wp:inline distT="0" distB="0" distL="0" distR="0" wp14:anchorId="684C1E99" wp14:editId="4E64D593">
            <wp:extent cx="5741977" cy="4312920"/>
            <wp:effectExtent l="0" t="0" r="0" b="0"/>
            <wp:docPr id="8" name="Picture 8">
              <a:hlinkClick xmlns:a="http://schemas.openxmlformats.org/drawingml/2006/main" r:id="rId1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a:hlinkClick r:id="rId15"/>
                    </pic:cNvPr>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55597" cy="4323150"/>
                    </a:xfrm>
                    <a:prstGeom prst="rect">
                      <a:avLst/>
                    </a:prstGeom>
                    <a:noFill/>
                    <a:ln>
                      <a:noFill/>
                    </a:ln>
                  </pic:spPr>
                </pic:pic>
              </a:graphicData>
            </a:graphic>
          </wp:inline>
        </w:drawing>
      </w:r>
      <w:r w:rsidRPr="00E4567F">
        <w:rPr>
          <w:rFonts w:eastAsia="Times New Roman" w:cs="Arial"/>
          <w:noProof/>
          <w:color w:val="0000FF"/>
          <w:lang w:eastAsia="en-ZA"/>
        </w:rPr>
        <w:drawing>
          <wp:inline distT="0" distB="0" distL="0" distR="0" wp14:anchorId="4391E03A" wp14:editId="613279CE">
            <wp:extent cx="5704840" cy="4299486"/>
            <wp:effectExtent l="0" t="0" r="0" b="6350"/>
            <wp:docPr id="9" name="Picture 9">
              <a:hlinkClick xmlns:a="http://schemas.openxmlformats.org/drawingml/2006/main" r:id="rId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a:hlinkClick r:id="rId17"/>
                    </pic:cNvPr>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81544" cy="4357294"/>
                    </a:xfrm>
                    <a:prstGeom prst="rect">
                      <a:avLst/>
                    </a:prstGeom>
                    <a:noFill/>
                    <a:ln>
                      <a:noFill/>
                    </a:ln>
                  </pic:spPr>
                </pic:pic>
              </a:graphicData>
            </a:graphic>
          </wp:inline>
        </w:drawing>
      </w:r>
    </w:p>
    <w:p w14:paraId="37AE7A81" w14:textId="77777777" w:rsidR="00E4567F" w:rsidRPr="00E4567F" w:rsidRDefault="00E4567F" w:rsidP="00E4567F">
      <w:pPr>
        <w:spacing w:before="120" w:after="120"/>
        <w:jc w:val="both"/>
        <w:rPr>
          <w:rFonts w:eastAsia="Times New Roman" w:cs="Arial"/>
          <w:lang w:eastAsia="en-ZA"/>
        </w:rPr>
      </w:pPr>
      <w:r w:rsidRPr="00E4567F">
        <w:rPr>
          <w:rFonts w:eastAsia="Times New Roman" w:cs="Arial"/>
          <w:lang w:eastAsia="en-ZA"/>
        </w:rPr>
        <w:t>Nominal GDP estimated at R1.27 trillion for Q3: 2018, R40 billion more than in Q2: 2018.</w:t>
      </w:r>
    </w:p>
    <w:p w14:paraId="3B9E6787" w14:textId="77777777" w:rsidR="00E4567F" w:rsidRPr="00E4567F" w:rsidRDefault="00E4567F" w:rsidP="00E4567F">
      <w:pPr>
        <w:spacing w:before="120" w:after="120"/>
        <w:jc w:val="both"/>
        <w:rPr>
          <w:rFonts w:eastAsia="Times New Roman" w:cs="Arial"/>
          <w:lang w:eastAsia="en-ZA"/>
        </w:rPr>
      </w:pPr>
      <w:r w:rsidRPr="00E4567F">
        <w:rPr>
          <w:rFonts w:eastAsia="Times New Roman" w:cs="Arial"/>
          <w:b/>
          <w:bCs/>
          <w:lang w:eastAsia="en-ZA"/>
        </w:rPr>
        <w:t>Better than expected</w:t>
      </w:r>
    </w:p>
    <w:p w14:paraId="46F67684" w14:textId="77777777" w:rsidR="00E4567F" w:rsidRPr="00E4567F" w:rsidRDefault="00E4567F" w:rsidP="00E4567F">
      <w:pPr>
        <w:spacing w:before="120" w:after="120"/>
        <w:jc w:val="both"/>
        <w:rPr>
          <w:rFonts w:eastAsia="Times New Roman" w:cs="Arial"/>
          <w:lang w:eastAsia="en-ZA"/>
        </w:rPr>
      </w:pPr>
      <w:r w:rsidRPr="00E4567F">
        <w:rPr>
          <w:rFonts w:eastAsia="Times New Roman" w:cs="Arial"/>
          <w:lang w:eastAsia="en-ZA"/>
        </w:rPr>
        <w:lastRenderedPageBreak/>
        <w:t>The GDP data reflects what many economists expected in the week leading up to the announcement, with the projection being that South Africa would lift itself out of the recession that settled in earlier in the year.</w:t>
      </w:r>
    </w:p>
    <w:p w14:paraId="782D82F0" w14:textId="77777777" w:rsidR="00E4567F" w:rsidRPr="00E4567F" w:rsidRDefault="00E4567F" w:rsidP="00E4567F">
      <w:pPr>
        <w:spacing w:before="120" w:after="120"/>
        <w:jc w:val="both"/>
        <w:rPr>
          <w:rFonts w:eastAsia="Times New Roman" w:cs="Arial"/>
          <w:lang w:eastAsia="en-ZA"/>
        </w:rPr>
      </w:pPr>
      <w:r w:rsidRPr="00E4567F">
        <w:rPr>
          <w:rFonts w:eastAsia="Times New Roman" w:cs="Arial"/>
          <w:lang w:eastAsia="en-ZA"/>
        </w:rPr>
        <w:t>However the final results were higher than most targets, with analysts expecting quarterly economic growth of approximately 1.5%.</w:t>
      </w:r>
    </w:p>
    <w:p w14:paraId="05051AFD" w14:textId="77777777" w:rsidR="00E4567F" w:rsidRPr="00E4567F" w:rsidRDefault="00E4567F" w:rsidP="00E4567F">
      <w:pPr>
        <w:spacing w:before="120" w:after="120"/>
        <w:jc w:val="both"/>
        <w:rPr>
          <w:rFonts w:eastAsia="Times New Roman" w:cs="Arial"/>
          <w:lang w:eastAsia="en-ZA"/>
        </w:rPr>
      </w:pPr>
      <w:r w:rsidRPr="00E4567F">
        <w:rPr>
          <w:rFonts w:eastAsia="Times New Roman" w:cs="Arial"/>
          <w:lang w:eastAsia="en-ZA"/>
        </w:rPr>
        <w:t>A Bloomberg survey of economists showed a projection of GDP expanding by 1.9% from the previous three months.</w:t>
      </w:r>
    </w:p>
    <w:p w14:paraId="2FE921AB" w14:textId="77777777" w:rsidR="00E4567F" w:rsidRPr="00E4567F" w:rsidRDefault="00E4567F" w:rsidP="00E4567F">
      <w:pPr>
        <w:spacing w:before="120" w:after="120"/>
        <w:jc w:val="both"/>
        <w:rPr>
          <w:rFonts w:eastAsia="Times New Roman" w:cs="Arial"/>
          <w:lang w:eastAsia="en-ZA"/>
        </w:rPr>
      </w:pPr>
      <w:r w:rsidRPr="00E4567F">
        <w:rPr>
          <w:rFonts w:eastAsia="Times New Roman" w:cs="Arial"/>
          <w:lang w:eastAsia="en-ZA"/>
        </w:rPr>
        <w:t>This marks South Africa exiting a technical recession, and the first proper recession since 2009.</w:t>
      </w:r>
    </w:p>
    <w:p w14:paraId="1DBD7B15" w14:textId="77777777" w:rsidR="00E4567F" w:rsidRPr="00E4567F" w:rsidRDefault="00E4567F" w:rsidP="00E4567F">
      <w:pPr>
        <w:spacing w:before="120" w:after="120"/>
        <w:jc w:val="both"/>
        <w:rPr>
          <w:rFonts w:eastAsia="Times New Roman" w:cs="Arial"/>
          <w:lang w:eastAsia="en-ZA"/>
        </w:rPr>
      </w:pPr>
      <w:r w:rsidRPr="00E4567F">
        <w:rPr>
          <w:rFonts w:eastAsia="Times New Roman" w:cs="Arial"/>
          <w:lang w:eastAsia="en-ZA"/>
        </w:rPr>
        <w:t>Updates to GDP data published in March 2018 showed what was assumed to be the previous recession – at the end of 2016 and start of 2017 – didn’t happen.</w:t>
      </w:r>
    </w:p>
    <w:p w14:paraId="0927A5EE" w14:textId="77777777" w:rsidR="00E4567F" w:rsidRPr="00E4567F" w:rsidRDefault="00E4567F" w:rsidP="00E4567F">
      <w:pPr>
        <w:spacing w:before="120" w:after="120"/>
        <w:jc w:val="both"/>
        <w:rPr>
          <w:rFonts w:eastAsia="Times New Roman" w:cs="Arial"/>
          <w:lang w:eastAsia="en-ZA"/>
        </w:rPr>
      </w:pPr>
      <w:r w:rsidRPr="00E4567F">
        <w:rPr>
          <w:rFonts w:eastAsia="Times New Roman" w:cs="Arial"/>
          <w:lang w:eastAsia="en-ZA"/>
        </w:rPr>
        <w:t>Some economists believe that there is a chance that the 2018 recession may also be “revised away” in future updates.</w:t>
      </w:r>
    </w:p>
    <w:p w14:paraId="51155202" w14:textId="77777777" w:rsidR="00E4567F" w:rsidRPr="00E4567F" w:rsidRDefault="00E4567F" w:rsidP="00E4567F">
      <w:pPr>
        <w:spacing w:before="120" w:after="120"/>
        <w:jc w:val="both"/>
        <w:rPr>
          <w:rFonts w:eastAsia="Times New Roman" w:cs="Arial"/>
          <w:lang w:eastAsia="en-ZA"/>
        </w:rPr>
      </w:pPr>
      <w:r w:rsidRPr="00E4567F">
        <w:rPr>
          <w:rFonts w:eastAsia="Times New Roman" w:cs="Arial"/>
          <w:lang w:eastAsia="en-ZA"/>
        </w:rPr>
        <w:t>Despite the positive quarterly growth, however, the GDP forecast for the year is still muted at around 0.7% compared to 2017.</w:t>
      </w:r>
    </w:p>
    <w:p w14:paraId="4C5712C5" w14:textId="5F805B4A" w:rsidR="00E4567F" w:rsidRDefault="00FA1C1A">
      <w:hyperlink r:id="rId19" w:history="1">
        <w:r w:rsidR="00E4567F" w:rsidRPr="00EF636E">
          <w:rPr>
            <w:rStyle w:val="Hyperlink"/>
          </w:rPr>
          <w:t>https://businesstech.co.za/news/finance/289132/south-africa-moves-out-of-recession/</w:t>
        </w:r>
      </w:hyperlink>
    </w:p>
    <w:p w14:paraId="05146473" w14:textId="6877BB3C" w:rsidR="00E4567F" w:rsidRDefault="00E4567F">
      <w:r>
        <w:br w:type="page"/>
      </w:r>
    </w:p>
    <w:p w14:paraId="5904EF77" w14:textId="77777777" w:rsidR="00E4567F" w:rsidRPr="00E4567F" w:rsidRDefault="00E4567F" w:rsidP="00E4567F">
      <w:pPr>
        <w:spacing w:before="120" w:after="120" w:line="276" w:lineRule="auto"/>
        <w:jc w:val="both"/>
        <w:outlineLvl w:val="0"/>
        <w:rPr>
          <w:rFonts w:eastAsia="Times New Roman" w:cs="Arial"/>
          <w:b/>
          <w:bCs/>
          <w:kern w:val="36"/>
          <w:lang w:eastAsia="en-ZA"/>
        </w:rPr>
      </w:pPr>
      <w:r w:rsidRPr="00E4567F">
        <w:rPr>
          <w:rFonts w:eastAsia="Times New Roman" w:cs="Arial"/>
          <w:b/>
          <w:bCs/>
          <w:kern w:val="36"/>
          <w:lang w:eastAsia="en-ZA"/>
        </w:rPr>
        <w:lastRenderedPageBreak/>
        <w:t>Projected GDP Ranking</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773"/>
        <w:gridCol w:w="6984"/>
      </w:tblGrid>
      <w:tr w:rsidR="00E4567F" w:rsidRPr="00E4567F" w14:paraId="33DEAEDA" w14:textId="77777777" w:rsidTr="00E4567F">
        <w:trPr>
          <w:tblCellSpacing w:w="15" w:type="dxa"/>
        </w:trPr>
        <w:tc>
          <w:tcPr>
            <w:tcW w:w="0" w:type="auto"/>
            <w:vAlign w:val="center"/>
            <w:hideMark/>
          </w:tcPr>
          <w:p w14:paraId="2D6384EB" w14:textId="77777777" w:rsidR="00E4567F" w:rsidRPr="00E4567F" w:rsidRDefault="00E4567F" w:rsidP="00E4567F">
            <w:pPr>
              <w:spacing w:before="120" w:after="120" w:line="276" w:lineRule="auto"/>
              <w:jc w:val="both"/>
              <w:rPr>
                <w:rFonts w:eastAsia="Times New Roman" w:cs="Arial"/>
                <w:lang w:eastAsia="en-ZA"/>
              </w:rPr>
            </w:pPr>
            <w:r w:rsidRPr="00E4567F">
              <w:rPr>
                <w:rFonts w:eastAsia="Times New Roman" w:cs="Arial"/>
                <w:lang w:eastAsia="en-ZA"/>
              </w:rPr>
              <w:t>Source</w:t>
            </w:r>
          </w:p>
        </w:tc>
        <w:tc>
          <w:tcPr>
            <w:tcW w:w="0" w:type="auto"/>
            <w:vAlign w:val="center"/>
            <w:hideMark/>
          </w:tcPr>
          <w:p w14:paraId="5DEEF94C" w14:textId="77777777" w:rsidR="00E4567F" w:rsidRPr="00E4567F" w:rsidRDefault="00FA1C1A" w:rsidP="00E4567F">
            <w:pPr>
              <w:spacing w:before="120" w:after="120" w:line="276" w:lineRule="auto"/>
              <w:jc w:val="both"/>
              <w:rPr>
                <w:rFonts w:eastAsia="Times New Roman" w:cs="Arial"/>
                <w:lang w:eastAsia="en-ZA"/>
              </w:rPr>
            </w:pPr>
            <w:hyperlink r:id="rId20" w:tgtFrame="_blank" w:history="1">
              <w:r w:rsidR="00E4567F" w:rsidRPr="00E4567F">
                <w:rPr>
                  <w:rFonts w:eastAsia="Times New Roman" w:cs="Arial"/>
                  <w:color w:val="0000FF"/>
                  <w:u w:val="single"/>
                  <w:lang w:eastAsia="en-ZA"/>
                </w:rPr>
                <w:t>International Monetary Fund World Economic Outlook (October - 2021)</w:t>
              </w:r>
            </w:hyperlink>
          </w:p>
        </w:tc>
      </w:tr>
      <w:tr w:rsidR="00E4567F" w:rsidRPr="00E4567F" w14:paraId="2F6A861E" w14:textId="77777777" w:rsidTr="00E4567F">
        <w:trPr>
          <w:tblCellSpacing w:w="15" w:type="dxa"/>
        </w:trPr>
        <w:tc>
          <w:tcPr>
            <w:tcW w:w="0" w:type="auto"/>
            <w:vAlign w:val="center"/>
            <w:hideMark/>
          </w:tcPr>
          <w:p w14:paraId="00E6BDA9" w14:textId="77777777" w:rsidR="00E4567F" w:rsidRPr="00E4567F" w:rsidRDefault="00E4567F" w:rsidP="00E4567F">
            <w:pPr>
              <w:spacing w:before="120" w:after="120" w:line="276" w:lineRule="auto"/>
              <w:jc w:val="both"/>
              <w:rPr>
                <w:rFonts w:eastAsia="Times New Roman" w:cs="Arial"/>
                <w:lang w:eastAsia="en-ZA"/>
              </w:rPr>
            </w:pPr>
            <w:r w:rsidRPr="00E4567F">
              <w:rPr>
                <w:rFonts w:eastAsia="Times New Roman" w:cs="Arial"/>
                <w:lang w:eastAsia="en-ZA"/>
              </w:rPr>
              <w:t>Date</w:t>
            </w:r>
          </w:p>
        </w:tc>
        <w:tc>
          <w:tcPr>
            <w:tcW w:w="0" w:type="auto"/>
            <w:vAlign w:val="center"/>
            <w:hideMark/>
          </w:tcPr>
          <w:p w14:paraId="2F06B56B" w14:textId="77777777" w:rsidR="00E4567F" w:rsidRPr="00E4567F" w:rsidRDefault="00E4567F" w:rsidP="00E4567F">
            <w:pPr>
              <w:spacing w:before="120" w:after="120" w:line="276" w:lineRule="auto"/>
              <w:jc w:val="both"/>
              <w:rPr>
                <w:rFonts w:eastAsia="Times New Roman" w:cs="Arial"/>
                <w:lang w:eastAsia="en-ZA"/>
              </w:rPr>
            </w:pPr>
            <w:r w:rsidRPr="00E4567F">
              <w:rPr>
                <w:rFonts w:eastAsia="Times New Roman" w:cs="Arial"/>
                <w:lang w:eastAsia="en-ZA"/>
              </w:rPr>
              <w:t>26 Oct 2021</w:t>
            </w:r>
          </w:p>
        </w:tc>
      </w:tr>
    </w:tbl>
    <w:p w14:paraId="4277D0AC" w14:textId="7D2B9296" w:rsidR="00E4567F" w:rsidRPr="00E4567F" w:rsidRDefault="00E4567F" w:rsidP="00E4567F">
      <w:pPr>
        <w:spacing w:before="120" w:after="120" w:line="276" w:lineRule="auto"/>
        <w:jc w:val="both"/>
        <w:rPr>
          <w:rFonts w:eastAsia="Times New Roman" w:cs="Arial"/>
          <w:lang w:eastAsia="en-ZA"/>
        </w:rPr>
      </w:pPr>
      <w:r w:rsidRPr="00E4567F">
        <w:rPr>
          <w:rFonts w:eastAsia="Times New Roman" w:cs="Arial"/>
          <w:lang w:eastAsia="en-ZA"/>
        </w:rPr>
        <w:t xml:space="preserve">As of </w:t>
      </w:r>
      <w:hyperlink r:id="rId21" w:history="1">
        <w:r w:rsidRPr="00E4567F">
          <w:rPr>
            <w:rFonts w:eastAsia="Times New Roman" w:cs="Arial"/>
            <w:color w:val="0000FF"/>
            <w:u w:val="single"/>
            <w:lang w:eastAsia="en-ZA"/>
          </w:rPr>
          <w:t>2021</w:t>
        </w:r>
      </w:hyperlink>
      <w:r w:rsidRPr="00E4567F">
        <w:rPr>
          <w:rFonts w:eastAsia="Times New Roman" w:cs="Arial"/>
          <w:lang w:eastAsia="en-ZA"/>
        </w:rPr>
        <w:t>, the United States and China would occupy the first two places in both methods</w:t>
      </w:r>
      <w:r w:rsidR="00FA1C1A">
        <w:rPr>
          <w:rFonts w:eastAsia="Times New Roman" w:cs="Arial"/>
          <w:lang w:eastAsia="en-ZA"/>
        </w:rPr>
        <w:t>’</w:t>
      </w:r>
      <w:r w:rsidRPr="00E4567F">
        <w:rPr>
          <w:rFonts w:eastAsia="Times New Roman" w:cs="Arial"/>
          <w:lang w:eastAsia="en-ZA"/>
        </w:rPr>
        <w:t xml:space="preserve"> gdp ranking. The US and China</w:t>
      </w:r>
      <w:r w:rsidR="00FA1C1A">
        <w:rPr>
          <w:rFonts w:eastAsia="Times New Roman" w:cs="Arial"/>
          <w:lang w:eastAsia="en-ZA"/>
        </w:rPr>
        <w:t>’</w:t>
      </w:r>
      <w:r w:rsidRPr="00E4567F">
        <w:rPr>
          <w:rFonts w:eastAsia="Times New Roman" w:cs="Arial"/>
          <w:lang w:eastAsia="en-ZA"/>
        </w:rPr>
        <w:t>s margin is coming down in nominal ranking as China</w:t>
      </w:r>
      <w:r w:rsidR="00FA1C1A">
        <w:rPr>
          <w:rFonts w:eastAsia="Times New Roman" w:cs="Arial"/>
          <w:lang w:eastAsia="en-ZA"/>
        </w:rPr>
        <w:t>’</w:t>
      </w:r>
      <w:r w:rsidRPr="00E4567F">
        <w:rPr>
          <w:rFonts w:eastAsia="Times New Roman" w:cs="Arial"/>
          <w:lang w:eastAsia="en-ZA"/>
        </w:rPr>
        <w:t>s gdp growth rate of 2021 (8.02%) is higher than the US</w:t>
      </w:r>
      <w:r w:rsidR="00FA1C1A">
        <w:rPr>
          <w:rFonts w:eastAsia="Times New Roman" w:cs="Arial"/>
          <w:lang w:eastAsia="en-ZA"/>
        </w:rPr>
        <w:t>’</w:t>
      </w:r>
      <w:r w:rsidRPr="00E4567F">
        <w:rPr>
          <w:rFonts w:eastAsia="Times New Roman" w:cs="Arial"/>
          <w:lang w:eastAsia="en-ZA"/>
        </w:rPr>
        <w:t>s 5.97%. On a nominal basis, the US is ahead of China by $6 trillion in 2021. On a ppp basis, China has overtaken the US in 2017 and ahead by Int. $4 trillion, and the gap is increasing. China will remain the world</w:t>
      </w:r>
      <w:r w:rsidR="00FA1C1A">
        <w:rPr>
          <w:rFonts w:eastAsia="Times New Roman" w:cs="Arial"/>
          <w:lang w:eastAsia="en-ZA"/>
        </w:rPr>
        <w:t>’</w:t>
      </w:r>
      <w:r w:rsidRPr="00E4567F">
        <w:rPr>
          <w:rFonts w:eastAsia="Times New Roman" w:cs="Arial"/>
          <w:lang w:eastAsia="en-ZA"/>
        </w:rPr>
        <w:t xml:space="preserve">s </w:t>
      </w:r>
      <w:hyperlink r:id="rId22" w:history="1">
        <w:r w:rsidRPr="00E4567F">
          <w:rPr>
            <w:rFonts w:eastAsia="Times New Roman" w:cs="Arial"/>
            <w:color w:val="0000FF"/>
            <w:u w:val="single"/>
            <w:lang w:eastAsia="en-ZA"/>
          </w:rPr>
          <w:t>largest economy</w:t>
        </w:r>
      </w:hyperlink>
      <w:r w:rsidRPr="00E4567F">
        <w:rPr>
          <w:rFonts w:eastAsia="Times New Roman" w:cs="Arial"/>
          <w:lang w:eastAsia="en-ZA"/>
        </w:rPr>
        <w:t xml:space="preserve"> on a ppp basis over the next few decades as 2nd ranked US is growing slow and 3rd ranked India is way behind.</w:t>
      </w:r>
    </w:p>
    <w:p w14:paraId="098D2457" w14:textId="77777777" w:rsidR="00E4567F" w:rsidRPr="00E4567F" w:rsidRDefault="00E4567F" w:rsidP="00E4567F">
      <w:pPr>
        <w:spacing w:before="120" w:after="120" w:line="276" w:lineRule="auto"/>
        <w:jc w:val="both"/>
        <w:rPr>
          <w:rFonts w:eastAsia="Times New Roman" w:cs="Arial"/>
          <w:lang w:eastAsia="en-ZA"/>
        </w:rPr>
      </w:pPr>
      <w:r w:rsidRPr="00E4567F">
        <w:rPr>
          <w:rFonts w:eastAsia="Times New Roman" w:cs="Arial"/>
          <w:lang w:eastAsia="en-ZA"/>
        </w:rPr>
        <w:t>In the nominal gdp list, There would be no change in the top 10. Other changes in the top 20 would be Iran overtaking the Netherlands, Saudi Arabia overtaking Turkey and Switzerland in the top 20 list. Among the top 50, the Economic rank of South Africa would move up by eight positions, while Egypt would lose four places.</w:t>
      </w:r>
    </w:p>
    <w:p w14:paraId="06B7C685" w14:textId="77777777" w:rsidR="00E4567F" w:rsidRPr="00E4567F" w:rsidRDefault="00E4567F" w:rsidP="00E4567F">
      <w:pPr>
        <w:spacing w:before="120" w:after="120" w:line="276" w:lineRule="auto"/>
        <w:jc w:val="both"/>
        <w:rPr>
          <w:rFonts w:eastAsia="Times New Roman" w:cs="Arial"/>
          <w:lang w:eastAsia="en-ZA"/>
        </w:rPr>
      </w:pPr>
      <w:r w:rsidRPr="00E4567F">
        <w:rPr>
          <w:rFonts w:eastAsia="Times New Roman" w:cs="Arial"/>
          <w:lang w:eastAsia="en-ZA"/>
        </w:rPr>
        <w:t>In the ppp ranking, There would be no change in the top 10 list. Other changes in the top 20 would be Taiwan overtaking Australia. Among the top 50, Ireland will climb three spots.</w:t>
      </w:r>
    </w:p>
    <w:p w14:paraId="53479689" w14:textId="77777777" w:rsidR="00E4567F" w:rsidRPr="00E4567F" w:rsidRDefault="00E4567F" w:rsidP="00E4567F">
      <w:pPr>
        <w:spacing w:before="120" w:after="120" w:line="276" w:lineRule="auto"/>
        <w:jc w:val="both"/>
        <w:rPr>
          <w:rFonts w:eastAsia="Times New Roman" w:cs="Arial"/>
          <w:lang w:eastAsia="en-ZA"/>
        </w:rPr>
      </w:pPr>
      <w:r w:rsidRPr="00E4567F">
        <w:rPr>
          <w:rFonts w:eastAsia="Times New Roman" w:cs="Arial"/>
          <w:lang w:eastAsia="en-ZA"/>
        </w:rPr>
        <w:t>In the list of top 50, All economies will experience a positive growth rate in 2021. Ireland is the fastest-growing economy with 14.04%, followed by Chile (11.00%). Thailand has the lowest growth rate of 0.96%, followed by the United Arab Emirates (2.24%) and Japan (2.36%).</w:t>
      </w:r>
    </w:p>
    <w:p w14:paraId="7C66E4C6" w14:textId="77777777" w:rsidR="00E4567F" w:rsidRPr="00E4567F" w:rsidRDefault="00E4567F" w:rsidP="00E4567F">
      <w:pPr>
        <w:spacing w:before="120" w:after="120" w:line="276" w:lineRule="auto"/>
        <w:jc w:val="both"/>
        <w:rPr>
          <w:rFonts w:eastAsia="Times New Roman" w:cs="Arial"/>
          <w:lang w:eastAsia="en-ZA"/>
        </w:rPr>
      </w:pPr>
      <w:r w:rsidRPr="00E4567F">
        <w:rPr>
          <w:rFonts w:eastAsia="Times New Roman" w:cs="Arial"/>
          <w:lang w:eastAsia="en-ZA"/>
        </w:rPr>
        <w:t>United States (1,5) is present in both lists of the top ten GDP and GDP per capita ranking at nominal terms. Germany (4,17), Canada (9,15), Australia (13,9), Netherlands (18,12), and Switzerland (20,3) are in the top twenty list of GDP and GDP per capita ranking. In PPP, United States (2,8) is present in the top ten, whereas Germany (5,18) and Taiwan (18,15) are in the top twenty of both rankings.</w:t>
      </w:r>
    </w:p>
    <w:tbl>
      <w:tblPr>
        <w:tblW w:w="5000" w:type="pct"/>
        <w:tblCellSpacing w:w="15" w:type="dxa"/>
        <w:tblBorders>
          <w:top w:val="single" w:sz="6" w:space="0" w:color="A3A375"/>
          <w:left w:val="single" w:sz="6" w:space="0" w:color="A3A375"/>
          <w:bottom w:val="single" w:sz="6" w:space="0" w:color="A3A375"/>
          <w:right w:val="single" w:sz="6" w:space="0" w:color="A3A375"/>
        </w:tblBorders>
        <w:tblCellMar>
          <w:top w:w="15" w:type="dxa"/>
          <w:left w:w="15" w:type="dxa"/>
          <w:bottom w:w="15" w:type="dxa"/>
          <w:right w:w="15" w:type="dxa"/>
        </w:tblCellMar>
        <w:tblLook w:val="04A0" w:firstRow="1" w:lastRow="0" w:firstColumn="1" w:lastColumn="0" w:noHBand="0" w:noVBand="1"/>
      </w:tblPr>
      <w:tblGrid>
        <w:gridCol w:w="1659"/>
        <w:gridCol w:w="772"/>
        <w:gridCol w:w="452"/>
        <w:gridCol w:w="772"/>
        <w:gridCol w:w="452"/>
        <w:gridCol w:w="505"/>
        <w:gridCol w:w="661"/>
        <w:gridCol w:w="620"/>
        <w:gridCol w:w="931"/>
        <w:gridCol w:w="1047"/>
        <w:gridCol w:w="1155"/>
      </w:tblGrid>
      <w:tr w:rsidR="00E4567F" w:rsidRPr="00E4567F" w14:paraId="1B0187CE" w14:textId="77777777" w:rsidTr="00E4567F">
        <w:trPr>
          <w:trHeight w:val="276"/>
          <w:tblHeader/>
          <w:tblCellSpacing w:w="15" w:type="dxa"/>
        </w:trPr>
        <w:tc>
          <w:tcPr>
            <w:tcW w:w="4967" w:type="pct"/>
            <w:gridSpan w:val="11"/>
            <w:vMerge w:val="restart"/>
            <w:tcBorders>
              <w:top w:val="nil"/>
              <w:left w:val="nil"/>
              <w:bottom w:val="nil"/>
              <w:right w:val="nil"/>
            </w:tcBorders>
            <w:shd w:val="clear" w:color="auto" w:fill="B33C00"/>
            <w:vAlign w:val="center"/>
            <w:hideMark/>
          </w:tcPr>
          <w:p w14:paraId="16D24082" w14:textId="77777777" w:rsidR="00E4567F" w:rsidRPr="00E4567F" w:rsidRDefault="00E4567F" w:rsidP="00E4567F">
            <w:pPr>
              <w:jc w:val="center"/>
              <w:rPr>
                <w:rFonts w:eastAsia="Times New Roman" w:cs="Arial"/>
                <w:sz w:val="16"/>
                <w:szCs w:val="16"/>
                <w:lang w:eastAsia="en-ZA"/>
              </w:rPr>
            </w:pPr>
            <w:r w:rsidRPr="00E4567F">
              <w:rPr>
                <w:rFonts w:eastAsia="Times New Roman" w:cs="Arial"/>
                <w:sz w:val="16"/>
                <w:szCs w:val="16"/>
                <w:lang w:eastAsia="en-ZA"/>
              </w:rPr>
              <w:t>GDP (Nominal) Ranking</w:t>
            </w:r>
          </w:p>
        </w:tc>
      </w:tr>
      <w:tr w:rsidR="00E4567F" w:rsidRPr="00E4567F" w14:paraId="0009E3D0" w14:textId="77777777" w:rsidTr="00E4567F">
        <w:trPr>
          <w:tblHeader/>
          <w:tblCellSpacing w:w="15" w:type="dxa"/>
        </w:trPr>
        <w:tc>
          <w:tcPr>
            <w:tcW w:w="936" w:type="pct"/>
            <w:vMerge w:val="restart"/>
            <w:shd w:val="clear" w:color="auto" w:fill="B33C00"/>
            <w:vAlign w:val="center"/>
            <w:hideMark/>
          </w:tcPr>
          <w:p w14:paraId="24C3B5BE" w14:textId="77777777" w:rsidR="00E4567F" w:rsidRPr="00E4567F" w:rsidRDefault="00E4567F" w:rsidP="00E4567F">
            <w:pPr>
              <w:jc w:val="center"/>
              <w:rPr>
                <w:rFonts w:eastAsia="Times New Roman" w:cs="Arial"/>
                <w:b/>
                <w:bCs/>
                <w:sz w:val="16"/>
                <w:szCs w:val="16"/>
                <w:lang w:eastAsia="en-ZA"/>
              </w:rPr>
            </w:pPr>
            <w:r w:rsidRPr="00E4567F">
              <w:rPr>
                <w:rFonts w:eastAsia="Times New Roman" w:cs="Arial"/>
                <w:b/>
                <w:bCs/>
                <w:sz w:val="16"/>
                <w:szCs w:val="16"/>
                <w:lang w:eastAsia="en-ZA"/>
              </w:rPr>
              <w:t>Country/Economy</w:t>
            </w:r>
          </w:p>
        </w:tc>
        <w:tc>
          <w:tcPr>
            <w:tcW w:w="1929" w:type="pct"/>
            <w:gridSpan w:val="6"/>
            <w:shd w:val="clear" w:color="auto" w:fill="00E64D"/>
            <w:vAlign w:val="center"/>
            <w:hideMark/>
          </w:tcPr>
          <w:p w14:paraId="031FED94" w14:textId="77777777" w:rsidR="00E4567F" w:rsidRPr="00E4567F" w:rsidRDefault="00E4567F" w:rsidP="00E4567F">
            <w:pPr>
              <w:jc w:val="center"/>
              <w:rPr>
                <w:rFonts w:eastAsia="Times New Roman" w:cs="Arial"/>
                <w:b/>
                <w:bCs/>
                <w:sz w:val="16"/>
                <w:szCs w:val="16"/>
                <w:lang w:eastAsia="en-ZA"/>
              </w:rPr>
            </w:pPr>
            <w:r w:rsidRPr="00E4567F">
              <w:rPr>
                <w:rFonts w:eastAsia="Times New Roman" w:cs="Arial"/>
                <w:b/>
                <w:bCs/>
                <w:sz w:val="16"/>
                <w:szCs w:val="16"/>
                <w:lang w:eastAsia="en-ZA"/>
              </w:rPr>
              <w:t>GDP (Nominal) (billions of $)</w:t>
            </w:r>
          </w:p>
        </w:tc>
        <w:tc>
          <w:tcPr>
            <w:tcW w:w="334" w:type="pct"/>
            <w:shd w:val="clear" w:color="auto" w:fill="1E90FF"/>
            <w:vAlign w:val="center"/>
            <w:hideMark/>
          </w:tcPr>
          <w:p w14:paraId="7AE9F90A" w14:textId="77777777" w:rsidR="00E4567F" w:rsidRPr="00E4567F" w:rsidRDefault="00E4567F" w:rsidP="00E4567F">
            <w:pPr>
              <w:jc w:val="center"/>
              <w:rPr>
                <w:rFonts w:eastAsia="Times New Roman" w:cs="Arial"/>
                <w:b/>
                <w:bCs/>
                <w:sz w:val="16"/>
                <w:szCs w:val="16"/>
                <w:lang w:eastAsia="en-ZA"/>
              </w:rPr>
            </w:pPr>
            <w:r w:rsidRPr="00E4567F">
              <w:rPr>
                <w:rFonts w:eastAsia="Times New Roman" w:cs="Arial"/>
                <w:b/>
                <w:bCs/>
                <w:sz w:val="16"/>
                <w:szCs w:val="16"/>
                <w:lang w:eastAsia="en-ZA"/>
              </w:rPr>
              <w:t>Growth (%)</w:t>
            </w:r>
          </w:p>
        </w:tc>
        <w:tc>
          <w:tcPr>
            <w:tcW w:w="1121" w:type="pct"/>
            <w:gridSpan w:val="2"/>
            <w:shd w:val="clear" w:color="auto" w:fill="DEB887"/>
            <w:vAlign w:val="center"/>
            <w:hideMark/>
          </w:tcPr>
          <w:p w14:paraId="7D03F043" w14:textId="77777777" w:rsidR="00E4567F" w:rsidRPr="00E4567F" w:rsidRDefault="00E4567F" w:rsidP="00E4567F">
            <w:pPr>
              <w:jc w:val="center"/>
              <w:rPr>
                <w:rFonts w:eastAsia="Times New Roman" w:cs="Arial"/>
                <w:b/>
                <w:bCs/>
                <w:sz w:val="16"/>
                <w:szCs w:val="16"/>
                <w:lang w:eastAsia="en-ZA"/>
              </w:rPr>
            </w:pPr>
            <w:r w:rsidRPr="00E4567F">
              <w:rPr>
                <w:rFonts w:eastAsia="Times New Roman" w:cs="Arial"/>
                <w:b/>
                <w:bCs/>
                <w:sz w:val="16"/>
                <w:szCs w:val="16"/>
                <w:lang w:eastAsia="en-ZA"/>
              </w:rPr>
              <w:t>GDP per capita (Nominal) ($)</w:t>
            </w:r>
          </w:p>
        </w:tc>
        <w:tc>
          <w:tcPr>
            <w:tcW w:w="579" w:type="pct"/>
            <w:vMerge w:val="restart"/>
            <w:shd w:val="clear" w:color="auto" w:fill="80D4FF"/>
            <w:vAlign w:val="center"/>
            <w:hideMark/>
          </w:tcPr>
          <w:p w14:paraId="1B254662" w14:textId="77777777" w:rsidR="00E4567F" w:rsidRPr="00E4567F" w:rsidRDefault="00E4567F" w:rsidP="00E4567F">
            <w:pPr>
              <w:jc w:val="center"/>
              <w:rPr>
                <w:rFonts w:eastAsia="Times New Roman" w:cs="Arial"/>
                <w:b/>
                <w:bCs/>
                <w:sz w:val="16"/>
                <w:szCs w:val="16"/>
                <w:lang w:eastAsia="en-ZA"/>
              </w:rPr>
            </w:pPr>
            <w:r w:rsidRPr="00E4567F">
              <w:rPr>
                <w:rFonts w:eastAsia="Times New Roman" w:cs="Arial"/>
                <w:b/>
                <w:bCs/>
                <w:sz w:val="16"/>
                <w:szCs w:val="16"/>
                <w:lang w:eastAsia="en-ZA"/>
              </w:rPr>
              <w:t>Continent</w:t>
            </w:r>
          </w:p>
        </w:tc>
      </w:tr>
      <w:tr w:rsidR="00E4567F" w:rsidRPr="00E4567F" w14:paraId="3E33DF56" w14:textId="77777777" w:rsidTr="00E4567F">
        <w:trPr>
          <w:tblHeader/>
          <w:tblCellSpacing w:w="15" w:type="dxa"/>
        </w:trPr>
        <w:tc>
          <w:tcPr>
            <w:tcW w:w="936" w:type="pct"/>
            <w:vMerge/>
            <w:shd w:val="clear" w:color="auto" w:fill="A3A375"/>
            <w:vAlign w:val="center"/>
            <w:hideMark/>
          </w:tcPr>
          <w:p w14:paraId="16755D9C" w14:textId="77777777" w:rsidR="00E4567F" w:rsidRPr="00E4567F" w:rsidRDefault="00E4567F" w:rsidP="00E4567F">
            <w:pPr>
              <w:rPr>
                <w:rFonts w:eastAsia="Times New Roman" w:cs="Arial"/>
                <w:b/>
                <w:bCs/>
                <w:sz w:val="16"/>
                <w:szCs w:val="16"/>
                <w:lang w:eastAsia="en-ZA"/>
              </w:rPr>
            </w:pPr>
          </w:p>
        </w:tc>
        <w:tc>
          <w:tcPr>
            <w:tcW w:w="411" w:type="pct"/>
            <w:shd w:val="clear" w:color="auto" w:fill="A3A375"/>
            <w:vAlign w:val="center"/>
            <w:hideMark/>
          </w:tcPr>
          <w:p w14:paraId="2F94E23F" w14:textId="77777777" w:rsidR="00E4567F" w:rsidRPr="00E4567F" w:rsidRDefault="00E4567F" w:rsidP="00E4567F">
            <w:pPr>
              <w:jc w:val="center"/>
              <w:rPr>
                <w:rFonts w:eastAsia="Times New Roman" w:cs="Arial"/>
                <w:b/>
                <w:bCs/>
                <w:sz w:val="16"/>
                <w:szCs w:val="16"/>
                <w:lang w:eastAsia="en-ZA"/>
              </w:rPr>
            </w:pPr>
            <w:r w:rsidRPr="00E4567F">
              <w:rPr>
                <w:rFonts w:eastAsia="Times New Roman" w:cs="Arial"/>
                <w:b/>
                <w:bCs/>
                <w:sz w:val="16"/>
                <w:szCs w:val="16"/>
                <w:lang w:eastAsia="en-ZA"/>
              </w:rPr>
              <w:t>2020</w:t>
            </w:r>
          </w:p>
        </w:tc>
        <w:tc>
          <w:tcPr>
            <w:tcW w:w="234" w:type="pct"/>
            <w:shd w:val="clear" w:color="auto" w:fill="A3A375"/>
            <w:vAlign w:val="center"/>
            <w:hideMark/>
          </w:tcPr>
          <w:p w14:paraId="7DB85156" w14:textId="77777777" w:rsidR="00E4567F" w:rsidRPr="00E4567F" w:rsidRDefault="00E4567F" w:rsidP="00E4567F">
            <w:pPr>
              <w:jc w:val="center"/>
              <w:rPr>
                <w:rFonts w:eastAsia="Times New Roman" w:cs="Arial"/>
                <w:b/>
                <w:bCs/>
                <w:sz w:val="16"/>
                <w:szCs w:val="16"/>
                <w:lang w:eastAsia="en-ZA"/>
              </w:rPr>
            </w:pPr>
            <w:r w:rsidRPr="00E4567F">
              <w:rPr>
                <w:rFonts w:eastAsia="Times New Roman" w:cs="Arial"/>
                <w:b/>
                <w:bCs/>
                <w:sz w:val="16"/>
                <w:szCs w:val="16"/>
                <w:lang w:eastAsia="en-ZA"/>
              </w:rPr>
              <w:t>Rank</w:t>
            </w:r>
          </w:p>
        </w:tc>
        <w:tc>
          <w:tcPr>
            <w:tcW w:w="411" w:type="pct"/>
            <w:shd w:val="clear" w:color="auto" w:fill="A3A375"/>
            <w:vAlign w:val="center"/>
            <w:hideMark/>
          </w:tcPr>
          <w:p w14:paraId="23153EB0" w14:textId="77777777" w:rsidR="00E4567F" w:rsidRPr="00E4567F" w:rsidRDefault="00E4567F" w:rsidP="00E4567F">
            <w:pPr>
              <w:jc w:val="center"/>
              <w:rPr>
                <w:rFonts w:eastAsia="Times New Roman" w:cs="Arial"/>
                <w:b/>
                <w:bCs/>
                <w:sz w:val="16"/>
                <w:szCs w:val="16"/>
                <w:lang w:eastAsia="en-ZA"/>
              </w:rPr>
            </w:pPr>
            <w:r w:rsidRPr="00E4567F">
              <w:rPr>
                <w:rFonts w:eastAsia="Times New Roman" w:cs="Arial"/>
                <w:b/>
                <w:bCs/>
                <w:sz w:val="16"/>
                <w:szCs w:val="16"/>
                <w:lang w:eastAsia="en-ZA"/>
              </w:rPr>
              <w:t>2021</w:t>
            </w:r>
          </w:p>
        </w:tc>
        <w:tc>
          <w:tcPr>
            <w:tcW w:w="234" w:type="pct"/>
            <w:shd w:val="clear" w:color="auto" w:fill="A3A375"/>
            <w:vAlign w:val="center"/>
            <w:hideMark/>
          </w:tcPr>
          <w:p w14:paraId="0112B5E4" w14:textId="77777777" w:rsidR="00E4567F" w:rsidRPr="00E4567F" w:rsidRDefault="00E4567F" w:rsidP="00E4567F">
            <w:pPr>
              <w:jc w:val="center"/>
              <w:rPr>
                <w:rFonts w:eastAsia="Times New Roman" w:cs="Arial"/>
                <w:b/>
                <w:bCs/>
                <w:sz w:val="16"/>
                <w:szCs w:val="16"/>
                <w:lang w:eastAsia="en-ZA"/>
              </w:rPr>
            </w:pPr>
            <w:r w:rsidRPr="00E4567F">
              <w:rPr>
                <w:rFonts w:eastAsia="Times New Roman" w:cs="Arial"/>
                <w:b/>
                <w:bCs/>
                <w:sz w:val="16"/>
                <w:szCs w:val="16"/>
                <w:lang w:eastAsia="en-ZA"/>
              </w:rPr>
              <w:t>Rank</w:t>
            </w:r>
          </w:p>
        </w:tc>
        <w:tc>
          <w:tcPr>
            <w:tcW w:w="266" w:type="pct"/>
            <w:shd w:val="clear" w:color="auto" w:fill="A3A375"/>
            <w:vAlign w:val="center"/>
            <w:hideMark/>
          </w:tcPr>
          <w:p w14:paraId="45D89809" w14:textId="77777777" w:rsidR="00E4567F" w:rsidRPr="00E4567F" w:rsidRDefault="00E4567F" w:rsidP="00E4567F">
            <w:pPr>
              <w:jc w:val="center"/>
              <w:rPr>
                <w:rFonts w:eastAsia="Times New Roman" w:cs="Arial"/>
                <w:b/>
                <w:bCs/>
                <w:sz w:val="16"/>
                <w:szCs w:val="16"/>
                <w:lang w:eastAsia="en-ZA"/>
              </w:rPr>
            </w:pPr>
            <w:r w:rsidRPr="00E4567F">
              <w:rPr>
                <w:rFonts w:eastAsia="Times New Roman" w:cs="Arial"/>
                <w:b/>
                <w:bCs/>
                <w:sz w:val="16"/>
                <w:szCs w:val="16"/>
                <w:lang w:eastAsia="en-ZA"/>
              </w:rPr>
              <w:t>Share (%)</w:t>
            </w:r>
          </w:p>
        </w:tc>
        <w:tc>
          <w:tcPr>
            <w:tcW w:w="291" w:type="pct"/>
            <w:shd w:val="clear" w:color="auto" w:fill="A3A375"/>
            <w:vAlign w:val="center"/>
            <w:hideMark/>
          </w:tcPr>
          <w:p w14:paraId="214D718E" w14:textId="77777777" w:rsidR="00E4567F" w:rsidRPr="00E4567F" w:rsidRDefault="00E4567F" w:rsidP="00E4567F">
            <w:pPr>
              <w:jc w:val="center"/>
              <w:rPr>
                <w:rFonts w:eastAsia="Times New Roman" w:cs="Arial"/>
                <w:b/>
                <w:bCs/>
                <w:sz w:val="16"/>
                <w:szCs w:val="16"/>
                <w:lang w:eastAsia="en-ZA"/>
              </w:rPr>
            </w:pPr>
            <w:r w:rsidRPr="00E4567F">
              <w:rPr>
                <w:rFonts w:eastAsia="Times New Roman" w:cs="Arial"/>
                <w:b/>
                <w:bCs/>
                <w:sz w:val="16"/>
                <w:szCs w:val="16"/>
                <w:lang w:eastAsia="en-ZA"/>
              </w:rPr>
              <w:t>diff</w:t>
            </w:r>
          </w:p>
        </w:tc>
        <w:tc>
          <w:tcPr>
            <w:tcW w:w="334" w:type="pct"/>
            <w:shd w:val="clear" w:color="auto" w:fill="A3A375"/>
            <w:vAlign w:val="center"/>
            <w:hideMark/>
          </w:tcPr>
          <w:p w14:paraId="330A2330" w14:textId="77777777" w:rsidR="00E4567F" w:rsidRPr="00E4567F" w:rsidRDefault="00E4567F" w:rsidP="00E4567F">
            <w:pPr>
              <w:jc w:val="center"/>
              <w:rPr>
                <w:rFonts w:eastAsia="Times New Roman" w:cs="Arial"/>
                <w:b/>
                <w:bCs/>
                <w:sz w:val="16"/>
                <w:szCs w:val="16"/>
                <w:lang w:eastAsia="en-ZA"/>
              </w:rPr>
            </w:pPr>
            <w:r w:rsidRPr="00E4567F">
              <w:rPr>
                <w:rFonts w:eastAsia="Times New Roman" w:cs="Arial"/>
                <w:b/>
                <w:bCs/>
                <w:sz w:val="16"/>
                <w:szCs w:val="16"/>
                <w:lang w:eastAsia="en-ZA"/>
              </w:rPr>
              <w:t>2021</w:t>
            </w:r>
          </w:p>
        </w:tc>
        <w:tc>
          <w:tcPr>
            <w:tcW w:w="527" w:type="pct"/>
            <w:shd w:val="clear" w:color="auto" w:fill="A3A375"/>
            <w:vAlign w:val="center"/>
            <w:hideMark/>
          </w:tcPr>
          <w:p w14:paraId="26F4B0AC" w14:textId="77777777" w:rsidR="00E4567F" w:rsidRPr="00E4567F" w:rsidRDefault="00E4567F" w:rsidP="00E4567F">
            <w:pPr>
              <w:jc w:val="center"/>
              <w:rPr>
                <w:rFonts w:eastAsia="Times New Roman" w:cs="Arial"/>
                <w:b/>
                <w:bCs/>
                <w:sz w:val="16"/>
                <w:szCs w:val="16"/>
                <w:lang w:eastAsia="en-ZA"/>
              </w:rPr>
            </w:pPr>
            <w:r w:rsidRPr="00E4567F">
              <w:rPr>
                <w:rFonts w:eastAsia="Times New Roman" w:cs="Arial"/>
                <w:b/>
                <w:bCs/>
                <w:sz w:val="16"/>
                <w:szCs w:val="16"/>
                <w:lang w:eastAsia="en-ZA"/>
              </w:rPr>
              <w:t>2021</w:t>
            </w:r>
          </w:p>
        </w:tc>
        <w:tc>
          <w:tcPr>
            <w:tcW w:w="578" w:type="pct"/>
            <w:shd w:val="clear" w:color="auto" w:fill="A3A375"/>
            <w:vAlign w:val="center"/>
            <w:hideMark/>
          </w:tcPr>
          <w:p w14:paraId="142A6DDC" w14:textId="77777777" w:rsidR="00E4567F" w:rsidRPr="00E4567F" w:rsidRDefault="00E4567F" w:rsidP="00E4567F">
            <w:pPr>
              <w:jc w:val="center"/>
              <w:rPr>
                <w:rFonts w:eastAsia="Times New Roman" w:cs="Arial"/>
                <w:b/>
                <w:bCs/>
                <w:sz w:val="16"/>
                <w:szCs w:val="16"/>
                <w:lang w:eastAsia="en-ZA"/>
              </w:rPr>
            </w:pPr>
            <w:r w:rsidRPr="00E4567F">
              <w:rPr>
                <w:rFonts w:eastAsia="Times New Roman" w:cs="Arial"/>
                <w:b/>
                <w:bCs/>
                <w:sz w:val="16"/>
                <w:szCs w:val="16"/>
                <w:lang w:eastAsia="en-ZA"/>
              </w:rPr>
              <w:t>Rank</w:t>
            </w:r>
          </w:p>
        </w:tc>
        <w:tc>
          <w:tcPr>
            <w:tcW w:w="579" w:type="pct"/>
            <w:vMerge/>
            <w:shd w:val="clear" w:color="auto" w:fill="A3A375"/>
            <w:vAlign w:val="center"/>
            <w:hideMark/>
          </w:tcPr>
          <w:p w14:paraId="3AC54D51" w14:textId="77777777" w:rsidR="00E4567F" w:rsidRPr="00E4567F" w:rsidRDefault="00E4567F" w:rsidP="00E4567F">
            <w:pPr>
              <w:rPr>
                <w:rFonts w:eastAsia="Times New Roman" w:cs="Arial"/>
                <w:b/>
                <w:bCs/>
                <w:sz w:val="16"/>
                <w:szCs w:val="16"/>
                <w:lang w:eastAsia="en-ZA"/>
              </w:rPr>
            </w:pPr>
          </w:p>
        </w:tc>
      </w:tr>
      <w:tr w:rsidR="00E4567F" w:rsidRPr="00E4567F" w14:paraId="182CFE4F" w14:textId="77777777" w:rsidTr="00E4567F">
        <w:trPr>
          <w:tblCellSpacing w:w="15" w:type="dxa"/>
        </w:trPr>
        <w:tc>
          <w:tcPr>
            <w:tcW w:w="936" w:type="pct"/>
            <w:vAlign w:val="center"/>
            <w:hideMark/>
          </w:tcPr>
          <w:p w14:paraId="670BC7F2" w14:textId="77777777" w:rsidR="00E4567F" w:rsidRPr="00E4567F" w:rsidRDefault="00FA1C1A" w:rsidP="00E4567F">
            <w:pPr>
              <w:rPr>
                <w:rFonts w:eastAsia="Times New Roman" w:cs="Arial"/>
                <w:sz w:val="16"/>
                <w:szCs w:val="16"/>
                <w:lang w:eastAsia="en-ZA"/>
              </w:rPr>
            </w:pPr>
            <w:hyperlink r:id="rId23" w:history="1">
              <w:r w:rsidR="00E4567F" w:rsidRPr="00E4567F">
                <w:rPr>
                  <w:rFonts w:eastAsia="Times New Roman" w:cs="Arial"/>
                  <w:color w:val="0000FF"/>
                  <w:sz w:val="16"/>
                  <w:szCs w:val="16"/>
                  <w:u w:val="single"/>
                  <w:lang w:eastAsia="en-ZA"/>
                </w:rPr>
                <w:t>United States</w:t>
              </w:r>
            </w:hyperlink>
          </w:p>
        </w:tc>
        <w:tc>
          <w:tcPr>
            <w:tcW w:w="411" w:type="pct"/>
            <w:vAlign w:val="center"/>
            <w:hideMark/>
          </w:tcPr>
          <w:p w14:paraId="4A0289B9"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20,893.75</w:t>
            </w:r>
          </w:p>
        </w:tc>
        <w:tc>
          <w:tcPr>
            <w:tcW w:w="234" w:type="pct"/>
            <w:vAlign w:val="center"/>
            <w:hideMark/>
          </w:tcPr>
          <w:p w14:paraId="5E6A4CE1"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1</w:t>
            </w:r>
          </w:p>
        </w:tc>
        <w:tc>
          <w:tcPr>
            <w:tcW w:w="411" w:type="pct"/>
            <w:vAlign w:val="center"/>
            <w:hideMark/>
          </w:tcPr>
          <w:p w14:paraId="2F14494D"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22,939.58</w:t>
            </w:r>
          </w:p>
        </w:tc>
        <w:tc>
          <w:tcPr>
            <w:tcW w:w="234" w:type="pct"/>
            <w:vAlign w:val="center"/>
            <w:hideMark/>
          </w:tcPr>
          <w:p w14:paraId="384CE896"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1</w:t>
            </w:r>
          </w:p>
        </w:tc>
        <w:tc>
          <w:tcPr>
            <w:tcW w:w="266" w:type="pct"/>
            <w:vAlign w:val="center"/>
            <w:hideMark/>
          </w:tcPr>
          <w:p w14:paraId="7983A59E"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24.2</w:t>
            </w:r>
          </w:p>
        </w:tc>
        <w:tc>
          <w:tcPr>
            <w:tcW w:w="291" w:type="pct"/>
            <w:vAlign w:val="center"/>
            <w:hideMark/>
          </w:tcPr>
          <w:p w14:paraId="4A75AA84"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w:t>
            </w:r>
          </w:p>
        </w:tc>
        <w:tc>
          <w:tcPr>
            <w:tcW w:w="334" w:type="pct"/>
            <w:vAlign w:val="center"/>
            <w:hideMark/>
          </w:tcPr>
          <w:p w14:paraId="1F1B5735"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5.97</w:t>
            </w:r>
          </w:p>
        </w:tc>
        <w:tc>
          <w:tcPr>
            <w:tcW w:w="527" w:type="pct"/>
            <w:vAlign w:val="center"/>
            <w:hideMark/>
          </w:tcPr>
          <w:p w14:paraId="76ED4A24"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69,375</w:t>
            </w:r>
          </w:p>
        </w:tc>
        <w:tc>
          <w:tcPr>
            <w:tcW w:w="578" w:type="pct"/>
            <w:vAlign w:val="center"/>
            <w:hideMark/>
          </w:tcPr>
          <w:p w14:paraId="084248A2"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5</w:t>
            </w:r>
          </w:p>
        </w:tc>
        <w:tc>
          <w:tcPr>
            <w:tcW w:w="579" w:type="pct"/>
            <w:vAlign w:val="center"/>
            <w:hideMark/>
          </w:tcPr>
          <w:p w14:paraId="71E92493"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North America</w:t>
            </w:r>
          </w:p>
        </w:tc>
      </w:tr>
      <w:tr w:rsidR="00E4567F" w:rsidRPr="00E4567F" w14:paraId="48CDF539" w14:textId="77777777" w:rsidTr="00E4567F">
        <w:trPr>
          <w:tblCellSpacing w:w="15" w:type="dxa"/>
        </w:trPr>
        <w:tc>
          <w:tcPr>
            <w:tcW w:w="936" w:type="pct"/>
            <w:vAlign w:val="center"/>
            <w:hideMark/>
          </w:tcPr>
          <w:p w14:paraId="1124ED8D" w14:textId="77777777" w:rsidR="00E4567F" w:rsidRPr="00E4567F" w:rsidRDefault="00FA1C1A" w:rsidP="00E4567F">
            <w:pPr>
              <w:rPr>
                <w:rFonts w:eastAsia="Times New Roman" w:cs="Arial"/>
                <w:sz w:val="16"/>
                <w:szCs w:val="16"/>
                <w:lang w:eastAsia="en-ZA"/>
              </w:rPr>
            </w:pPr>
            <w:hyperlink r:id="rId24" w:history="1">
              <w:r w:rsidR="00E4567F" w:rsidRPr="00E4567F">
                <w:rPr>
                  <w:rFonts w:eastAsia="Times New Roman" w:cs="Arial"/>
                  <w:color w:val="0000FF"/>
                  <w:sz w:val="16"/>
                  <w:szCs w:val="16"/>
                  <w:u w:val="single"/>
                  <w:lang w:eastAsia="en-ZA"/>
                </w:rPr>
                <w:t>China</w:t>
              </w:r>
            </w:hyperlink>
          </w:p>
        </w:tc>
        <w:tc>
          <w:tcPr>
            <w:tcW w:w="411" w:type="pct"/>
            <w:vAlign w:val="center"/>
            <w:hideMark/>
          </w:tcPr>
          <w:p w14:paraId="50B9ED53"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14,866.74</w:t>
            </w:r>
          </w:p>
        </w:tc>
        <w:tc>
          <w:tcPr>
            <w:tcW w:w="234" w:type="pct"/>
            <w:vAlign w:val="center"/>
            <w:hideMark/>
          </w:tcPr>
          <w:p w14:paraId="07D25E59"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2</w:t>
            </w:r>
          </w:p>
        </w:tc>
        <w:tc>
          <w:tcPr>
            <w:tcW w:w="411" w:type="pct"/>
            <w:vAlign w:val="center"/>
            <w:hideMark/>
          </w:tcPr>
          <w:p w14:paraId="2C7A43F7"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16,862.98</w:t>
            </w:r>
          </w:p>
        </w:tc>
        <w:tc>
          <w:tcPr>
            <w:tcW w:w="234" w:type="pct"/>
            <w:vAlign w:val="center"/>
            <w:hideMark/>
          </w:tcPr>
          <w:p w14:paraId="698E2715"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2</w:t>
            </w:r>
          </w:p>
        </w:tc>
        <w:tc>
          <w:tcPr>
            <w:tcW w:w="266" w:type="pct"/>
            <w:vAlign w:val="center"/>
            <w:hideMark/>
          </w:tcPr>
          <w:p w14:paraId="0D7E2DFE"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17.8</w:t>
            </w:r>
          </w:p>
        </w:tc>
        <w:tc>
          <w:tcPr>
            <w:tcW w:w="291" w:type="pct"/>
            <w:vAlign w:val="center"/>
            <w:hideMark/>
          </w:tcPr>
          <w:p w14:paraId="3CB72930"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6,077</w:t>
            </w:r>
          </w:p>
        </w:tc>
        <w:tc>
          <w:tcPr>
            <w:tcW w:w="334" w:type="pct"/>
            <w:vAlign w:val="center"/>
            <w:hideMark/>
          </w:tcPr>
          <w:p w14:paraId="59B3EDF4"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8.02</w:t>
            </w:r>
          </w:p>
        </w:tc>
        <w:tc>
          <w:tcPr>
            <w:tcW w:w="527" w:type="pct"/>
            <w:vAlign w:val="center"/>
            <w:hideMark/>
          </w:tcPr>
          <w:p w14:paraId="66BC8979"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11,891</w:t>
            </w:r>
          </w:p>
        </w:tc>
        <w:tc>
          <w:tcPr>
            <w:tcW w:w="578" w:type="pct"/>
            <w:vAlign w:val="center"/>
            <w:hideMark/>
          </w:tcPr>
          <w:p w14:paraId="69F2CD02"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64</w:t>
            </w:r>
          </w:p>
        </w:tc>
        <w:tc>
          <w:tcPr>
            <w:tcW w:w="579" w:type="pct"/>
            <w:vAlign w:val="center"/>
            <w:hideMark/>
          </w:tcPr>
          <w:p w14:paraId="22AFAEB4"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Asia</w:t>
            </w:r>
          </w:p>
        </w:tc>
      </w:tr>
      <w:tr w:rsidR="00E4567F" w:rsidRPr="00E4567F" w14:paraId="0EDC63B1" w14:textId="77777777" w:rsidTr="00E4567F">
        <w:trPr>
          <w:tblCellSpacing w:w="15" w:type="dxa"/>
        </w:trPr>
        <w:tc>
          <w:tcPr>
            <w:tcW w:w="936" w:type="pct"/>
            <w:vAlign w:val="center"/>
            <w:hideMark/>
          </w:tcPr>
          <w:p w14:paraId="204570A3" w14:textId="77777777" w:rsidR="00E4567F" w:rsidRPr="00E4567F" w:rsidRDefault="00FA1C1A" w:rsidP="00E4567F">
            <w:pPr>
              <w:rPr>
                <w:rFonts w:eastAsia="Times New Roman" w:cs="Arial"/>
                <w:sz w:val="16"/>
                <w:szCs w:val="16"/>
                <w:lang w:eastAsia="en-ZA"/>
              </w:rPr>
            </w:pPr>
            <w:hyperlink r:id="rId25" w:history="1">
              <w:r w:rsidR="00E4567F" w:rsidRPr="00E4567F">
                <w:rPr>
                  <w:rFonts w:eastAsia="Times New Roman" w:cs="Arial"/>
                  <w:color w:val="0000FF"/>
                  <w:sz w:val="16"/>
                  <w:szCs w:val="16"/>
                  <w:u w:val="single"/>
                  <w:lang w:eastAsia="en-ZA"/>
                </w:rPr>
                <w:t>Japan</w:t>
              </w:r>
            </w:hyperlink>
          </w:p>
        </w:tc>
        <w:tc>
          <w:tcPr>
            <w:tcW w:w="411" w:type="pct"/>
            <w:vAlign w:val="center"/>
            <w:hideMark/>
          </w:tcPr>
          <w:p w14:paraId="22FEEA65"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5,045.10</w:t>
            </w:r>
          </w:p>
        </w:tc>
        <w:tc>
          <w:tcPr>
            <w:tcW w:w="234" w:type="pct"/>
            <w:vAlign w:val="center"/>
            <w:hideMark/>
          </w:tcPr>
          <w:p w14:paraId="2872DB9E"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3</w:t>
            </w:r>
          </w:p>
        </w:tc>
        <w:tc>
          <w:tcPr>
            <w:tcW w:w="411" w:type="pct"/>
            <w:vAlign w:val="center"/>
            <w:hideMark/>
          </w:tcPr>
          <w:p w14:paraId="595FF558"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5,103.11</w:t>
            </w:r>
          </w:p>
        </w:tc>
        <w:tc>
          <w:tcPr>
            <w:tcW w:w="234" w:type="pct"/>
            <w:vAlign w:val="center"/>
            <w:hideMark/>
          </w:tcPr>
          <w:p w14:paraId="51540C9B"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3</w:t>
            </w:r>
          </w:p>
        </w:tc>
        <w:tc>
          <w:tcPr>
            <w:tcW w:w="266" w:type="pct"/>
            <w:vAlign w:val="center"/>
            <w:hideMark/>
          </w:tcPr>
          <w:p w14:paraId="207475C5"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5.38</w:t>
            </w:r>
          </w:p>
        </w:tc>
        <w:tc>
          <w:tcPr>
            <w:tcW w:w="291" w:type="pct"/>
            <w:vAlign w:val="center"/>
            <w:hideMark/>
          </w:tcPr>
          <w:p w14:paraId="2ED6C9C7"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11,760</w:t>
            </w:r>
          </w:p>
        </w:tc>
        <w:tc>
          <w:tcPr>
            <w:tcW w:w="334" w:type="pct"/>
            <w:vAlign w:val="center"/>
            <w:hideMark/>
          </w:tcPr>
          <w:p w14:paraId="0107AE83"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2.36</w:t>
            </w:r>
          </w:p>
        </w:tc>
        <w:tc>
          <w:tcPr>
            <w:tcW w:w="527" w:type="pct"/>
            <w:vAlign w:val="center"/>
            <w:hideMark/>
          </w:tcPr>
          <w:p w14:paraId="1EBE9B8D"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40,704</w:t>
            </w:r>
          </w:p>
        </w:tc>
        <w:tc>
          <w:tcPr>
            <w:tcW w:w="578" w:type="pct"/>
            <w:vAlign w:val="center"/>
            <w:hideMark/>
          </w:tcPr>
          <w:p w14:paraId="11624066"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26</w:t>
            </w:r>
          </w:p>
        </w:tc>
        <w:tc>
          <w:tcPr>
            <w:tcW w:w="579" w:type="pct"/>
            <w:vAlign w:val="center"/>
            <w:hideMark/>
          </w:tcPr>
          <w:p w14:paraId="014D55AC"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Asia</w:t>
            </w:r>
          </w:p>
        </w:tc>
      </w:tr>
      <w:tr w:rsidR="00E4567F" w:rsidRPr="00E4567F" w14:paraId="1573F712" w14:textId="77777777" w:rsidTr="00E4567F">
        <w:trPr>
          <w:tblCellSpacing w:w="15" w:type="dxa"/>
        </w:trPr>
        <w:tc>
          <w:tcPr>
            <w:tcW w:w="936" w:type="pct"/>
            <w:vAlign w:val="center"/>
            <w:hideMark/>
          </w:tcPr>
          <w:p w14:paraId="37E941F9" w14:textId="77777777" w:rsidR="00E4567F" w:rsidRPr="00E4567F" w:rsidRDefault="00FA1C1A" w:rsidP="00E4567F">
            <w:pPr>
              <w:rPr>
                <w:rFonts w:eastAsia="Times New Roman" w:cs="Arial"/>
                <w:sz w:val="16"/>
                <w:szCs w:val="16"/>
                <w:lang w:eastAsia="en-ZA"/>
              </w:rPr>
            </w:pPr>
            <w:hyperlink r:id="rId26" w:history="1">
              <w:r w:rsidR="00E4567F" w:rsidRPr="00E4567F">
                <w:rPr>
                  <w:rFonts w:eastAsia="Times New Roman" w:cs="Arial"/>
                  <w:color w:val="0000FF"/>
                  <w:sz w:val="16"/>
                  <w:szCs w:val="16"/>
                  <w:u w:val="single"/>
                  <w:lang w:eastAsia="en-ZA"/>
                </w:rPr>
                <w:t>Germany</w:t>
              </w:r>
            </w:hyperlink>
          </w:p>
        </w:tc>
        <w:tc>
          <w:tcPr>
            <w:tcW w:w="411" w:type="pct"/>
            <w:vAlign w:val="center"/>
            <w:hideMark/>
          </w:tcPr>
          <w:p w14:paraId="0A94D1CA"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3,843.34</w:t>
            </w:r>
          </w:p>
        </w:tc>
        <w:tc>
          <w:tcPr>
            <w:tcW w:w="234" w:type="pct"/>
            <w:vAlign w:val="center"/>
            <w:hideMark/>
          </w:tcPr>
          <w:p w14:paraId="0A40EE2E"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4</w:t>
            </w:r>
          </w:p>
        </w:tc>
        <w:tc>
          <w:tcPr>
            <w:tcW w:w="411" w:type="pct"/>
            <w:vAlign w:val="center"/>
            <w:hideMark/>
          </w:tcPr>
          <w:p w14:paraId="77FE0C3C"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4,230.17</w:t>
            </w:r>
          </w:p>
        </w:tc>
        <w:tc>
          <w:tcPr>
            <w:tcW w:w="234" w:type="pct"/>
            <w:vAlign w:val="center"/>
            <w:hideMark/>
          </w:tcPr>
          <w:p w14:paraId="68285C78"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4</w:t>
            </w:r>
          </w:p>
        </w:tc>
        <w:tc>
          <w:tcPr>
            <w:tcW w:w="266" w:type="pct"/>
            <w:vAlign w:val="center"/>
            <w:hideMark/>
          </w:tcPr>
          <w:p w14:paraId="6F705F67"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4.46</w:t>
            </w:r>
          </w:p>
        </w:tc>
        <w:tc>
          <w:tcPr>
            <w:tcW w:w="291" w:type="pct"/>
            <w:vAlign w:val="center"/>
            <w:hideMark/>
          </w:tcPr>
          <w:p w14:paraId="4508DD44"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873</w:t>
            </w:r>
          </w:p>
        </w:tc>
        <w:tc>
          <w:tcPr>
            <w:tcW w:w="334" w:type="pct"/>
            <w:vAlign w:val="center"/>
            <w:hideMark/>
          </w:tcPr>
          <w:p w14:paraId="001D5472"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3.05</w:t>
            </w:r>
          </w:p>
        </w:tc>
        <w:tc>
          <w:tcPr>
            <w:tcW w:w="527" w:type="pct"/>
            <w:vAlign w:val="center"/>
            <w:hideMark/>
          </w:tcPr>
          <w:p w14:paraId="003D4B9F"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50,788</w:t>
            </w:r>
          </w:p>
        </w:tc>
        <w:tc>
          <w:tcPr>
            <w:tcW w:w="578" w:type="pct"/>
            <w:vAlign w:val="center"/>
            <w:hideMark/>
          </w:tcPr>
          <w:p w14:paraId="4A8ABAB3"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17</w:t>
            </w:r>
          </w:p>
        </w:tc>
        <w:tc>
          <w:tcPr>
            <w:tcW w:w="579" w:type="pct"/>
            <w:vAlign w:val="center"/>
            <w:hideMark/>
          </w:tcPr>
          <w:p w14:paraId="4729461F"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Europe</w:t>
            </w:r>
          </w:p>
        </w:tc>
      </w:tr>
      <w:tr w:rsidR="00E4567F" w:rsidRPr="00E4567F" w14:paraId="364DA5D8" w14:textId="77777777" w:rsidTr="00E4567F">
        <w:trPr>
          <w:tblCellSpacing w:w="15" w:type="dxa"/>
        </w:trPr>
        <w:tc>
          <w:tcPr>
            <w:tcW w:w="936" w:type="pct"/>
            <w:vAlign w:val="center"/>
            <w:hideMark/>
          </w:tcPr>
          <w:p w14:paraId="1CDA1EEB" w14:textId="77777777" w:rsidR="00E4567F" w:rsidRPr="00E4567F" w:rsidRDefault="00FA1C1A" w:rsidP="00E4567F">
            <w:pPr>
              <w:rPr>
                <w:rFonts w:eastAsia="Times New Roman" w:cs="Arial"/>
                <w:sz w:val="16"/>
                <w:szCs w:val="16"/>
                <w:lang w:eastAsia="en-ZA"/>
              </w:rPr>
            </w:pPr>
            <w:hyperlink r:id="rId27" w:history="1">
              <w:r w:rsidR="00E4567F" w:rsidRPr="00E4567F">
                <w:rPr>
                  <w:rFonts w:eastAsia="Times New Roman" w:cs="Arial"/>
                  <w:color w:val="0000FF"/>
                  <w:sz w:val="16"/>
                  <w:szCs w:val="16"/>
                  <w:u w:val="single"/>
                  <w:lang w:eastAsia="en-ZA"/>
                </w:rPr>
                <w:t>United Kingdom</w:t>
              </w:r>
            </w:hyperlink>
          </w:p>
        </w:tc>
        <w:tc>
          <w:tcPr>
            <w:tcW w:w="411" w:type="pct"/>
            <w:vAlign w:val="center"/>
            <w:hideMark/>
          </w:tcPr>
          <w:p w14:paraId="76E0EBBE"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2,709.68</w:t>
            </w:r>
          </w:p>
        </w:tc>
        <w:tc>
          <w:tcPr>
            <w:tcW w:w="234" w:type="pct"/>
            <w:vAlign w:val="center"/>
            <w:hideMark/>
          </w:tcPr>
          <w:p w14:paraId="2DC0D814"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5</w:t>
            </w:r>
          </w:p>
        </w:tc>
        <w:tc>
          <w:tcPr>
            <w:tcW w:w="411" w:type="pct"/>
            <w:vAlign w:val="center"/>
            <w:hideMark/>
          </w:tcPr>
          <w:p w14:paraId="5A2E3B13"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3,108.42</w:t>
            </w:r>
          </w:p>
        </w:tc>
        <w:tc>
          <w:tcPr>
            <w:tcW w:w="234" w:type="pct"/>
            <w:vAlign w:val="center"/>
            <w:hideMark/>
          </w:tcPr>
          <w:p w14:paraId="3A9D3081"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5</w:t>
            </w:r>
          </w:p>
        </w:tc>
        <w:tc>
          <w:tcPr>
            <w:tcW w:w="266" w:type="pct"/>
            <w:vAlign w:val="center"/>
            <w:hideMark/>
          </w:tcPr>
          <w:p w14:paraId="3B5A8E38"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3.27</w:t>
            </w:r>
          </w:p>
        </w:tc>
        <w:tc>
          <w:tcPr>
            <w:tcW w:w="291" w:type="pct"/>
            <w:vAlign w:val="center"/>
            <w:hideMark/>
          </w:tcPr>
          <w:p w14:paraId="1C0ECD84"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1,122</w:t>
            </w:r>
          </w:p>
        </w:tc>
        <w:tc>
          <w:tcPr>
            <w:tcW w:w="334" w:type="pct"/>
            <w:vAlign w:val="center"/>
            <w:hideMark/>
          </w:tcPr>
          <w:p w14:paraId="7EEF0C41"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6.76</w:t>
            </w:r>
          </w:p>
        </w:tc>
        <w:tc>
          <w:tcPr>
            <w:tcW w:w="527" w:type="pct"/>
            <w:vAlign w:val="center"/>
            <w:hideMark/>
          </w:tcPr>
          <w:p w14:paraId="33B60882"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46,200</w:t>
            </w:r>
          </w:p>
        </w:tc>
        <w:tc>
          <w:tcPr>
            <w:tcW w:w="578" w:type="pct"/>
            <w:vAlign w:val="center"/>
            <w:hideMark/>
          </w:tcPr>
          <w:p w14:paraId="69713678"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22</w:t>
            </w:r>
          </w:p>
        </w:tc>
        <w:tc>
          <w:tcPr>
            <w:tcW w:w="579" w:type="pct"/>
            <w:vAlign w:val="center"/>
            <w:hideMark/>
          </w:tcPr>
          <w:p w14:paraId="3743923B"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Europe</w:t>
            </w:r>
          </w:p>
        </w:tc>
      </w:tr>
      <w:tr w:rsidR="00E4567F" w:rsidRPr="00E4567F" w14:paraId="7E749B6F" w14:textId="77777777" w:rsidTr="00E4567F">
        <w:trPr>
          <w:tblCellSpacing w:w="15" w:type="dxa"/>
        </w:trPr>
        <w:tc>
          <w:tcPr>
            <w:tcW w:w="936" w:type="pct"/>
            <w:vAlign w:val="center"/>
            <w:hideMark/>
          </w:tcPr>
          <w:p w14:paraId="5BE02316" w14:textId="77777777" w:rsidR="00E4567F" w:rsidRPr="00E4567F" w:rsidRDefault="00FA1C1A" w:rsidP="00E4567F">
            <w:pPr>
              <w:rPr>
                <w:rFonts w:eastAsia="Times New Roman" w:cs="Arial"/>
                <w:sz w:val="16"/>
                <w:szCs w:val="16"/>
                <w:lang w:eastAsia="en-ZA"/>
              </w:rPr>
            </w:pPr>
            <w:hyperlink r:id="rId28" w:history="1">
              <w:r w:rsidR="00E4567F" w:rsidRPr="00E4567F">
                <w:rPr>
                  <w:rFonts w:eastAsia="Times New Roman" w:cs="Arial"/>
                  <w:color w:val="0000FF"/>
                  <w:sz w:val="16"/>
                  <w:szCs w:val="16"/>
                  <w:u w:val="single"/>
                  <w:lang w:eastAsia="en-ZA"/>
                </w:rPr>
                <w:t>India</w:t>
              </w:r>
            </w:hyperlink>
          </w:p>
        </w:tc>
        <w:tc>
          <w:tcPr>
            <w:tcW w:w="411" w:type="pct"/>
            <w:vAlign w:val="center"/>
            <w:hideMark/>
          </w:tcPr>
          <w:p w14:paraId="40AEF81B"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2,660.24</w:t>
            </w:r>
          </w:p>
        </w:tc>
        <w:tc>
          <w:tcPr>
            <w:tcW w:w="234" w:type="pct"/>
            <w:vAlign w:val="center"/>
            <w:hideMark/>
          </w:tcPr>
          <w:p w14:paraId="1370F9FB"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6</w:t>
            </w:r>
          </w:p>
        </w:tc>
        <w:tc>
          <w:tcPr>
            <w:tcW w:w="411" w:type="pct"/>
            <w:vAlign w:val="center"/>
            <w:hideMark/>
          </w:tcPr>
          <w:p w14:paraId="7032C150"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2,946.06</w:t>
            </w:r>
          </w:p>
        </w:tc>
        <w:tc>
          <w:tcPr>
            <w:tcW w:w="234" w:type="pct"/>
            <w:vAlign w:val="center"/>
            <w:hideMark/>
          </w:tcPr>
          <w:p w14:paraId="662EFD91"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6</w:t>
            </w:r>
          </w:p>
        </w:tc>
        <w:tc>
          <w:tcPr>
            <w:tcW w:w="266" w:type="pct"/>
            <w:vAlign w:val="center"/>
            <w:hideMark/>
          </w:tcPr>
          <w:p w14:paraId="33C285E8"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3.10</w:t>
            </w:r>
          </w:p>
        </w:tc>
        <w:tc>
          <w:tcPr>
            <w:tcW w:w="291" w:type="pct"/>
            <w:vAlign w:val="center"/>
            <w:hideMark/>
          </w:tcPr>
          <w:p w14:paraId="4897F424"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162</w:t>
            </w:r>
          </w:p>
        </w:tc>
        <w:tc>
          <w:tcPr>
            <w:tcW w:w="334" w:type="pct"/>
            <w:vAlign w:val="center"/>
            <w:hideMark/>
          </w:tcPr>
          <w:p w14:paraId="087DE146"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9.50</w:t>
            </w:r>
          </w:p>
        </w:tc>
        <w:tc>
          <w:tcPr>
            <w:tcW w:w="527" w:type="pct"/>
            <w:vAlign w:val="center"/>
            <w:hideMark/>
          </w:tcPr>
          <w:p w14:paraId="6037E5E3"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2,116</w:t>
            </w:r>
          </w:p>
        </w:tc>
        <w:tc>
          <w:tcPr>
            <w:tcW w:w="578" w:type="pct"/>
            <w:vAlign w:val="center"/>
            <w:hideMark/>
          </w:tcPr>
          <w:p w14:paraId="5B7B1CCA"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150</w:t>
            </w:r>
          </w:p>
        </w:tc>
        <w:tc>
          <w:tcPr>
            <w:tcW w:w="579" w:type="pct"/>
            <w:vAlign w:val="center"/>
            <w:hideMark/>
          </w:tcPr>
          <w:p w14:paraId="1D0C5DBB"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Asia</w:t>
            </w:r>
          </w:p>
        </w:tc>
      </w:tr>
      <w:tr w:rsidR="00E4567F" w:rsidRPr="00E4567F" w14:paraId="0B9DF17F" w14:textId="77777777" w:rsidTr="00E4567F">
        <w:trPr>
          <w:tblCellSpacing w:w="15" w:type="dxa"/>
        </w:trPr>
        <w:tc>
          <w:tcPr>
            <w:tcW w:w="936" w:type="pct"/>
            <w:vAlign w:val="center"/>
            <w:hideMark/>
          </w:tcPr>
          <w:p w14:paraId="5A7BDC9F" w14:textId="77777777" w:rsidR="00E4567F" w:rsidRPr="00E4567F" w:rsidRDefault="00FA1C1A" w:rsidP="00E4567F">
            <w:pPr>
              <w:rPr>
                <w:rFonts w:eastAsia="Times New Roman" w:cs="Arial"/>
                <w:sz w:val="16"/>
                <w:szCs w:val="16"/>
                <w:lang w:eastAsia="en-ZA"/>
              </w:rPr>
            </w:pPr>
            <w:hyperlink r:id="rId29" w:history="1">
              <w:r w:rsidR="00E4567F" w:rsidRPr="00E4567F">
                <w:rPr>
                  <w:rFonts w:eastAsia="Times New Roman" w:cs="Arial"/>
                  <w:color w:val="0000FF"/>
                  <w:sz w:val="16"/>
                  <w:szCs w:val="16"/>
                  <w:u w:val="single"/>
                  <w:lang w:eastAsia="en-ZA"/>
                </w:rPr>
                <w:t>France</w:t>
              </w:r>
            </w:hyperlink>
          </w:p>
        </w:tc>
        <w:tc>
          <w:tcPr>
            <w:tcW w:w="411" w:type="pct"/>
            <w:vAlign w:val="center"/>
            <w:hideMark/>
          </w:tcPr>
          <w:p w14:paraId="5CCB9DCC"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2,624.42</w:t>
            </w:r>
          </w:p>
        </w:tc>
        <w:tc>
          <w:tcPr>
            <w:tcW w:w="234" w:type="pct"/>
            <w:vAlign w:val="center"/>
            <w:hideMark/>
          </w:tcPr>
          <w:p w14:paraId="0A717361"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7</w:t>
            </w:r>
          </w:p>
        </w:tc>
        <w:tc>
          <w:tcPr>
            <w:tcW w:w="411" w:type="pct"/>
            <w:vAlign w:val="center"/>
            <w:hideMark/>
          </w:tcPr>
          <w:p w14:paraId="3D6402AA"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2,940.43</w:t>
            </w:r>
          </w:p>
        </w:tc>
        <w:tc>
          <w:tcPr>
            <w:tcW w:w="234" w:type="pct"/>
            <w:vAlign w:val="center"/>
            <w:hideMark/>
          </w:tcPr>
          <w:p w14:paraId="40C716F7"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7</w:t>
            </w:r>
          </w:p>
        </w:tc>
        <w:tc>
          <w:tcPr>
            <w:tcW w:w="266" w:type="pct"/>
            <w:vAlign w:val="center"/>
            <w:hideMark/>
          </w:tcPr>
          <w:p w14:paraId="30C8C817"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3.10</w:t>
            </w:r>
          </w:p>
        </w:tc>
        <w:tc>
          <w:tcPr>
            <w:tcW w:w="291" w:type="pct"/>
            <w:vAlign w:val="center"/>
            <w:hideMark/>
          </w:tcPr>
          <w:p w14:paraId="21B0E356"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5.63</w:t>
            </w:r>
          </w:p>
        </w:tc>
        <w:tc>
          <w:tcPr>
            <w:tcW w:w="334" w:type="pct"/>
            <w:vAlign w:val="center"/>
            <w:hideMark/>
          </w:tcPr>
          <w:p w14:paraId="1A0E30F0"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6.29</w:t>
            </w:r>
          </w:p>
        </w:tc>
        <w:tc>
          <w:tcPr>
            <w:tcW w:w="527" w:type="pct"/>
            <w:vAlign w:val="center"/>
            <w:hideMark/>
          </w:tcPr>
          <w:p w14:paraId="2D7820BC"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45,028</w:t>
            </w:r>
          </w:p>
        </w:tc>
        <w:tc>
          <w:tcPr>
            <w:tcW w:w="578" w:type="pct"/>
            <w:vAlign w:val="center"/>
            <w:hideMark/>
          </w:tcPr>
          <w:p w14:paraId="748C92F4"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23</w:t>
            </w:r>
          </w:p>
        </w:tc>
        <w:tc>
          <w:tcPr>
            <w:tcW w:w="579" w:type="pct"/>
            <w:vAlign w:val="center"/>
            <w:hideMark/>
          </w:tcPr>
          <w:p w14:paraId="4FEE7F7E"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Europe</w:t>
            </w:r>
          </w:p>
        </w:tc>
      </w:tr>
      <w:tr w:rsidR="00E4567F" w:rsidRPr="00E4567F" w14:paraId="5C41D6FB" w14:textId="77777777" w:rsidTr="00E4567F">
        <w:trPr>
          <w:tblCellSpacing w:w="15" w:type="dxa"/>
        </w:trPr>
        <w:tc>
          <w:tcPr>
            <w:tcW w:w="936" w:type="pct"/>
            <w:vAlign w:val="center"/>
            <w:hideMark/>
          </w:tcPr>
          <w:p w14:paraId="45465E1E" w14:textId="77777777" w:rsidR="00E4567F" w:rsidRPr="00E4567F" w:rsidRDefault="00FA1C1A" w:rsidP="00E4567F">
            <w:pPr>
              <w:rPr>
                <w:rFonts w:eastAsia="Times New Roman" w:cs="Arial"/>
                <w:sz w:val="16"/>
                <w:szCs w:val="16"/>
                <w:lang w:eastAsia="en-ZA"/>
              </w:rPr>
            </w:pPr>
            <w:hyperlink r:id="rId30" w:history="1">
              <w:r w:rsidR="00E4567F" w:rsidRPr="00E4567F">
                <w:rPr>
                  <w:rFonts w:eastAsia="Times New Roman" w:cs="Arial"/>
                  <w:color w:val="0000FF"/>
                  <w:sz w:val="16"/>
                  <w:szCs w:val="16"/>
                  <w:u w:val="single"/>
                  <w:lang w:eastAsia="en-ZA"/>
                </w:rPr>
                <w:t>Italy</w:t>
              </w:r>
            </w:hyperlink>
          </w:p>
        </w:tc>
        <w:tc>
          <w:tcPr>
            <w:tcW w:w="411" w:type="pct"/>
            <w:vAlign w:val="center"/>
            <w:hideMark/>
          </w:tcPr>
          <w:p w14:paraId="37957B97"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1,884.94</w:t>
            </w:r>
          </w:p>
        </w:tc>
        <w:tc>
          <w:tcPr>
            <w:tcW w:w="234" w:type="pct"/>
            <w:vAlign w:val="center"/>
            <w:hideMark/>
          </w:tcPr>
          <w:p w14:paraId="7CB32FC3"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8</w:t>
            </w:r>
          </w:p>
        </w:tc>
        <w:tc>
          <w:tcPr>
            <w:tcW w:w="411" w:type="pct"/>
            <w:vAlign w:val="center"/>
            <w:hideMark/>
          </w:tcPr>
          <w:p w14:paraId="013C38DD"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2,120.23</w:t>
            </w:r>
          </w:p>
        </w:tc>
        <w:tc>
          <w:tcPr>
            <w:tcW w:w="234" w:type="pct"/>
            <w:vAlign w:val="center"/>
            <w:hideMark/>
          </w:tcPr>
          <w:p w14:paraId="7E5E34D9"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8</w:t>
            </w:r>
          </w:p>
        </w:tc>
        <w:tc>
          <w:tcPr>
            <w:tcW w:w="266" w:type="pct"/>
            <w:vAlign w:val="center"/>
            <w:hideMark/>
          </w:tcPr>
          <w:p w14:paraId="7F1E5C5E"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2.23</w:t>
            </w:r>
          </w:p>
        </w:tc>
        <w:tc>
          <w:tcPr>
            <w:tcW w:w="291" w:type="pct"/>
            <w:vAlign w:val="center"/>
            <w:hideMark/>
          </w:tcPr>
          <w:p w14:paraId="4ACA9156"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820</w:t>
            </w:r>
          </w:p>
        </w:tc>
        <w:tc>
          <w:tcPr>
            <w:tcW w:w="334" w:type="pct"/>
            <w:vAlign w:val="center"/>
            <w:hideMark/>
          </w:tcPr>
          <w:p w14:paraId="58366E93"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5.77</w:t>
            </w:r>
          </w:p>
        </w:tc>
        <w:tc>
          <w:tcPr>
            <w:tcW w:w="527" w:type="pct"/>
            <w:vAlign w:val="center"/>
            <w:hideMark/>
          </w:tcPr>
          <w:p w14:paraId="3B3CF18B"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35,585</w:t>
            </w:r>
          </w:p>
        </w:tc>
        <w:tc>
          <w:tcPr>
            <w:tcW w:w="578" w:type="pct"/>
            <w:vAlign w:val="center"/>
            <w:hideMark/>
          </w:tcPr>
          <w:p w14:paraId="2C0B29CE"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28</w:t>
            </w:r>
          </w:p>
        </w:tc>
        <w:tc>
          <w:tcPr>
            <w:tcW w:w="579" w:type="pct"/>
            <w:vAlign w:val="center"/>
            <w:hideMark/>
          </w:tcPr>
          <w:p w14:paraId="434F822D"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Europe</w:t>
            </w:r>
          </w:p>
        </w:tc>
      </w:tr>
      <w:tr w:rsidR="00E4567F" w:rsidRPr="00E4567F" w14:paraId="7A9AD578" w14:textId="77777777" w:rsidTr="00E4567F">
        <w:trPr>
          <w:tblCellSpacing w:w="15" w:type="dxa"/>
        </w:trPr>
        <w:tc>
          <w:tcPr>
            <w:tcW w:w="936" w:type="pct"/>
            <w:vAlign w:val="center"/>
            <w:hideMark/>
          </w:tcPr>
          <w:p w14:paraId="64E144D5" w14:textId="77777777" w:rsidR="00E4567F" w:rsidRPr="00E4567F" w:rsidRDefault="00FA1C1A" w:rsidP="00E4567F">
            <w:pPr>
              <w:rPr>
                <w:rFonts w:eastAsia="Times New Roman" w:cs="Arial"/>
                <w:sz w:val="16"/>
                <w:szCs w:val="16"/>
                <w:lang w:eastAsia="en-ZA"/>
              </w:rPr>
            </w:pPr>
            <w:hyperlink r:id="rId31" w:history="1">
              <w:r w:rsidR="00E4567F" w:rsidRPr="00E4567F">
                <w:rPr>
                  <w:rFonts w:eastAsia="Times New Roman" w:cs="Arial"/>
                  <w:color w:val="0000FF"/>
                  <w:sz w:val="16"/>
                  <w:szCs w:val="16"/>
                  <w:u w:val="single"/>
                  <w:lang w:eastAsia="en-ZA"/>
                </w:rPr>
                <w:t>Canada</w:t>
              </w:r>
            </w:hyperlink>
          </w:p>
        </w:tc>
        <w:tc>
          <w:tcPr>
            <w:tcW w:w="411" w:type="pct"/>
            <w:vAlign w:val="center"/>
            <w:hideMark/>
          </w:tcPr>
          <w:p w14:paraId="311A7D91"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1,644.04</w:t>
            </w:r>
          </w:p>
        </w:tc>
        <w:tc>
          <w:tcPr>
            <w:tcW w:w="234" w:type="pct"/>
            <w:vAlign w:val="center"/>
            <w:hideMark/>
          </w:tcPr>
          <w:p w14:paraId="604FE383"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9</w:t>
            </w:r>
          </w:p>
        </w:tc>
        <w:tc>
          <w:tcPr>
            <w:tcW w:w="411" w:type="pct"/>
            <w:vAlign w:val="center"/>
            <w:hideMark/>
          </w:tcPr>
          <w:p w14:paraId="73D80F80"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2,015.98</w:t>
            </w:r>
          </w:p>
        </w:tc>
        <w:tc>
          <w:tcPr>
            <w:tcW w:w="234" w:type="pct"/>
            <w:vAlign w:val="center"/>
            <w:hideMark/>
          </w:tcPr>
          <w:p w14:paraId="42D78574"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9</w:t>
            </w:r>
          </w:p>
        </w:tc>
        <w:tc>
          <w:tcPr>
            <w:tcW w:w="266" w:type="pct"/>
            <w:vAlign w:val="center"/>
            <w:hideMark/>
          </w:tcPr>
          <w:p w14:paraId="612798F7"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2.12</w:t>
            </w:r>
          </w:p>
        </w:tc>
        <w:tc>
          <w:tcPr>
            <w:tcW w:w="291" w:type="pct"/>
            <w:vAlign w:val="center"/>
            <w:hideMark/>
          </w:tcPr>
          <w:p w14:paraId="4724362A"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104</w:t>
            </w:r>
          </w:p>
        </w:tc>
        <w:tc>
          <w:tcPr>
            <w:tcW w:w="334" w:type="pct"/>
            <w:vAlign w:val="center"/>
            <w:hideMark/>
          </w:tcPr>
          <w:p w14:paraId="533EBB74"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5.69</w:t>
            </w:r>
          </w:p>
        </w:tc>
        <w:tc>
          <w:tcPr>
            <w:tcW w:w="527" w:type="pct"/>
            <w:vAlign w:val="center"/>
            <w:hideMark/>
          </w:tcPr>
          <w:p w14:paraId="28AA34F2"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52,791</w:t>
            </w:r>
          </w:p>
        </w:tc>
        <w:tc>
          <w:tcPr>
            <w:tcW w:w="578" w:type="pct"/>
            <w:vAlign w:val="center"/>
            <w:hideMark/>
          </w:tcPr>
          <w:p w14:paraId="24BDFFA8"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15</w:t>
            </w:r>
          </w:p>
        </w:tc>
        <w:tc>
          <w:tcPr>
            <w:tcW w:w="579" w:type="pct"/>
            <w:vAlign w:val="center"/>
            <w:hideMark/>
          </w:tcPr>
          <w:p w14:paraId="28059E68"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North America</w:t>
            </w:r>
          </w:p>
        </w:tc>
      </w:tr>
      <w:tr w:rsidR="00E4567F" w:rsidRPr="00E4567F" w14:paraId="0702A48B" w14:textId="77777777" w:rsidTr="00E4567F">
        <w:trPr>
          <w:tblCellSpacing w:w="15" w:type="dxa"/>
        </w:trPr>
        <w:tc>
          <w:tcPr>
            <w:tcW w:w="936" w:type="pct"/>
            <w:vAlign w:val="center"/>
            <w:hideMark/>
          </w:tcPr>
          <w:p w14:paraId="20FC46B2" w14:textId="77777777" w:rsidR="00E4567F" w:rsidRPr="00E4567F" w:rsidRDefault="00FA1C1A" w:rsidP="00E4567F">
            <w:pPr>
              <w:rPr>
                <w:rFonts w:eastAsia="Times New Roman" w:cs="Arial"/>
                <w:sz w:val="16"/>
                <w:szCs w:val="16"/>
                <w:lang w:eastAsia="en-ZA"/>
              </w:rPr>
            </w:pPr>
            <w:hyperlink r:id="rId32" w:history="1">
              <w:r w:rsidR="00E4567F" w:rsidRPr="00E4567F">
                <w:rPr>
                  <w:rFonts w:eastAsia="Times New Roman" w:cs="Arial"/>
                  <w:color w:val="0000FF"/>
                  <w:sz w:val="16"/>
                  <w:szCs w:val="16"/>
                  <w:u w:val="single"/>
                  <w:lang w:eastAsia="en-ZA"/>
                </w:rPr>
                <w:t>Korea</w:t>
              </w:r>
            </w:hyperlink>
          </w:p>
        </w:tc>
        <w:tc>
          <w:tcPr>
            <w:tcW w:w="411" w:type="pct"/>
            <w:vAlign w:val="center"/>
            <w:hideMark/>
          </w:tcPr>
          <w:p w14:paraId="0930D5F0"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1,638.26</w:t>
            </w:r>
          </w:p>
        </w:tc>
        <w:tc>
          <w:tcPr>
            <w:tcW w:w="234" w:type="pct"/>
            <w:vAlign w:val="center"/>
            <w:hideMark/>
          </w:tcPr>
          <w:p w14:paraId="318BFF4D"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10</w:t>
            </w:r>
          </w:p>
        </w:tc>
        <w:tc>
          <w:tcPr>
            <w:tcW w:w="411" w:type="pct"/>
            <w:vAlign w:val="center"/>
            <w:hideMark/>
          </w:tcPr>
          <w:p w14:paraId="62CDFFC4"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1,823.85</w:t>
            </w:r>
          </w:p>
        </w:tc>
        <w:tc>
          <w:tcPr>
            <w:tcW w:w="234" w:type="pct"/>
            <w:vAlign w:val="center"/>
            <w:hideMark/>
          </w:tcPr>
          <w:p w14:paraId="13D9F765"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10</w:t>
            </w:r>
          </w:p>
        </w:tc>
        <w:tc>
          <w:tcPr>
            <w:tcW w:w="266" w:type="pct"/>
            <w:vAlign w:val="center"/>
            <w:hideMark/>
          </w:tcPr>
          <w:p w14:paraId="2BF49477"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1.92</w:t>
            </w:r>
          </w:p>
        </w:tc>
        <w:tc>
          <w:tcPr>
            <w:tcW w:w="291" w:type="pct"/>
            <w:vAlign w:val="center"/>
            <w:hideMark/>
          </w:tcPr>
          <w:p w14:paraId="60F06A9A"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192</w:t>
            </w:r>
          </w:p>
        </w:tc>
        <w:tc>
          <w:tcPr>
            <w:tcW w:w="334" w:type="pct"/>
            <w:vAlign w:val="center"/>
            <w:hideMark/>
          </w:tcPr>
          <w:p w14:paraId="023679D4"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4.28</w:t>
            </w:r>
          </w:p>
        </w:tc>
        <w:tc>
          <w:tcPr>
            <w:tcW w:w="527" w:type="pct"/>
            <w:vAlign w:val="center"/>
            <w:hideMark/>
          </w:tcPr>
          <w:p w14:paraId="7EEC725C"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35,196</w:t>
            </w:r>
          </w:p>
        </w:tc>
        <w:tc>
          <w:tcPr>
            <w:tcW w:w="578" w:type="pct"/>
            <w:vAlign w:val="center"/>
            <w:hideMark/>
          </w:tcPr>
          <w:p w14:paraId="4FEC240A"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29</w:t>
            </w:r>
          </w:p>
        </w:tc>
        <w:tc>
          <w:tcPr>
            <w:tcW w:w="579" w:type="pct"/>
            <w:vAlign w:val="center"/>
            <w:hideMark/>
          </w:tcPr>
          <w:p w14:paraId="312F84B3"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Asia</w:t>
            </w:r>
          </w:p>
        </w:tc>
      </w:tr>
      <w:tr w:rsidR="00E4567F" w:rsidRPr="00E4567F" w14:paraId="1284F6A7" w14:textId="77777777" w:rsidTr="00E4567F">
        <w:trPr>
          <w:tblCellSpacing w:w="15" w:type="dxa"/>
        </w:trPr>
        <w:tc>
          <w:tcPr>
            <w:tcW w:w="936" w:type="pct"/>
            <w:vAlign w:val="center"/>
            <w:hideMark/>
          </w:tcPr>
          <w:p w14:paraId="0B6F0FFD" w14:textId="77777777" w:rsidR="00E4567F" w:rsidRPr="00E4567F" w:rsidRDefault="00FA1C1A" w:rsidP="00E4567F">
            <w:pPr>
              <w:rPr>
                <w:rFonts w:eastAsia="Times New Roman" w:cs="Arial"/>
                <w:sz w:val="16"/>
                <w:szCs w:val="16"/>
                <w:lang w:eastAsia="en-ZA"/>
              </w:rPr>
            </w:pPr>
            <w:hyperlink r:id="rId33" w:history="1">
              <w:r w:rsidR="00E4567F" w:rsidRPr="00E4567F">
                <w:rPr>
                  <w:rFonts w:eastAsia="Times New Roman" w:cs="Arial"/>
                  <w:color w:val="0000FF"/>
                  <w:sz w:val="16"/>
                  <w:szCs w:val="16"/>
                  <w:u w:val="single"/>
                  <w:lang w:eastAsia="en-ZA"/>
                </w:rPr>
                <w:t>Russia</w:t>
              </w:r>
            </w:hyperlink>
          </w:p>
        </w:tc>
        <w:tc>
          <w:tcPr>
            <w:tcW w:w="411" w:type="pct"/>
            <w:vAlign w:val="center"/>
            <w:hideMark/>
          </w:tcPr>
          <w:p w14:paraId="3EC505D2"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1,478.57</w:t>
            </w:r>
          </w:p>
        </w:tc>
        <w:tc>
          <w:tcPr>
            <w:tcW w:w="234" w:type="pct"/>
            <w:vAlign w:val="center"/>
            <w:hideMark/>
          </w:tcPr>
          <w:p w14:paraId="277D29E0"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11</w:t>
            </w:r>
          </w:p>
        </w:tc>
        <w:tc>
          <w:tcPr>
            <w:tcW w:w="411" w:type="pct"/>
            <w:vAlign w:val="center"/>
            <w:hideMark/>
          </w:tcPr>
          <w:p w14:paraId="07BC2F06"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1,647.57</w:t>
            </w:r>
          </w:p>
        </w:tc>
        <w:tc>
          <w:tcPr>
            <w:tcW w:w="234" w:type="pct"/>
            <w:vAlign w:val="center"/>
            <w:hideMark/>
          </w:tcPr>
          <w:p w14:paraId="5964B8F1"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11</w:t>
            </w:r>
          </w:p>
        </w:tc>
        <w:tc>
          <w:tcPr>
            <w:tcW w:w="266" w:type="pct"/>
            <w:vAlign w:val="center"/>
            <w:hideMark/>
          </w:tcPr>
          <w:p w14:paraId="0817E57F"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1.74</w:t>
            </w:r>
          </w:p>
        </w:tc>
        <w:tc>
          <w:tcPr>
            <w:tcW w:w="291" w:type="pct"/>
            <w:vAlign w:val="center"/>
            <w:hideMark/>
          </w:tcPr>
          <w:p w14:paraId="17CBFADA"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176</w:t>
            </w:r>
          </w:p>
        </w:tc>
        <w:tc>
          <w:tcPr>
            <w:tcW w:w="334" w:type="pct"/>
            <w:vAlign w:val="center"/>
            <w:hideMark/>
          </w:tcPr>
          <w:p w14:paraId="07633C24"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4.69</w:t>
            </w:r>
          </w:p>
        </w:tc>
        <w:tc>
          <w:tcPr>
            <w:tcW w:w="527" w:type="pct"/>
            <w:vAlign w:val="center"/>
            <w:hideMark/>
          </w:tcPr>
          <w:p w14:paraId="0506D460"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11,273</w:t>
            </w:r>
          </w:p>
        </w:tc>
        <w:tc>
          <w:tcPr>
            <w:tcW w:w="578" w:type="pct"/>
            <w:vAlign w:val="center"/>
            <w:hideMark/>
          </w:tcPr>
          <w:p w14:paraId="720E0930"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68</w:t>
            </w:r>
          </w:p>
        </w:tc>
        <w:tc>
          <w:tcPr>
            <w:tcW w:w="579" w:type="pct"/>
            <w:vAlign w:val="center"/>
            <w:hideMark/>
          </w:tcPr>
          <w:p w14:paraId="1F837DFC"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Europe</w:t>
            </w:r>
          </w:p>
        </w:tc>
      </w:tr>
      <w:tr w:rsidR="00E4567F" w:rsidRPr="00E4567F" w14:paraId="5DF38114" w14:textId="77777777" w:rsidTr="00E4567F">
        <w:trPr>
          <w:tblCellSpacing w:w="15" w:type="dxa"/>
        </w:trPr>
        <w:tc>
          <w:tcPr>
            <w:tcW w:w="936" w:type="pct"/>
            <w:vAlign w:val="center"/>
            <w:hideMark/>
          </w:tcPr>
          <w:p w14:paraId="11F730CC" w14:textId="77777777" w:rsidR="00E4567F" w:rsidRPr="00E4567F" w:rsidRDefault="00FA1C1A" w:rsidP="00E4567F">
            <w:pPr>
              <w:rPr>
                <w:rFonts w:eastAsia="Times New Roman" w:cs="Arial"/>
                <w:sz w:val="16"/>
                <w:szCs w:val="16"/>
                <w:lang w:eastAsia="en-ZA"/>
              </w:rPr>
            </w:pPr>
            <w:hyperlink r:id="rId34" w:history="1">
              <w:r w:rsidR="00E4567F" w:rsidRPr="00E4567F">
                <w:rPr>
                  <w:rFonts w:eastAsia="Times New Roman" w:cs="Arial"/>
                  <w:color w:val="0000FF"/>
                  <w:sz w:val="16"/>
                  <w:szCs w:val="16"/>
                  <w:u w:val="single"/>
                  <w:lang w:eastAsia="en-ZA"/>
                </w:rPr>
                <w:t>Brazil</w:t>
              </w:r>
            </w:hyperlink>
          </w:p>
        </w:tc>
        <w:tc>
          <w:tcPr>
            <w:tcW w:w="411" w:type="pct"/>
            <w:vAlign w:val="center"/>
            <w:hideMark/>
          </w:tcPr>
          <w:p w14:paraId="5317CA90"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1,444.72</w:t>
            </w:r>
          </w:p>
        </w:tc>
        <w:tc>
          <w:tcPr>
            <w:tcW w:w="234" w:type="pct"/>
            <w:vAlign w:val="center"/>
            <w:hideMark/>
          </w:tcPr>
          <w:p w14:paraId="52C2E8F4"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12</w:t>
            </w:r>
          </w:p>
        </w:tc>
        <w:tc>
          <w:tcPr>
            <w:tcW w:w="411" w:type="pct"/>
            <w:vAlign w:val="center"/>
            <w:hideMark/>
          </w:tcPr>
          <w:p w14:paraId="1A6FAF09"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1,645.84</w:t>
            </w:r>
          </w:p>
        </w:tc>
        <w:tc>
          <w:tcPr>
            <w:tcW w:w="234" w:type="pct"/>
            <w:vAlign w:val="center"/>
            <w:hideMark/>
          </w:tcPr>
          <w:p w14:paraId="499AB04E"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12</w:t>
            </w:r>
          </w:p>
        </w:tc>
        <w:tc>
          <w:tcPr>
            <w:tcW w:w="266" w:type="pct"/>
            <w:vAlign w:val="center"/>
            <w:hideMark/>
          </w:tcPr>
          <w:p w14:paraId="4E6A777A"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1.73</w:t>
            </w:r>
          </w:p>
        </w:tc>
        <w:tc>
          <w:tcPr>
            <w:tcW w:w="291" w:type="pct"/>
            <w:vAlign w:val="center"/>
            <w:hideMark/>
          </w:tcPr>
          <w:p w14:paraId="657666AC"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1.73</w:t>
            </w:r>
          </w:p>
        </w:tc>
        <w:tc>
          <w:tcPr>
            <w:tcW w:w="334" w:type="pct"/>
            <w:vAlign w:val="center"/>
            <w:hideMark/>
          </w:tcPr>
          <w:p w14:paraId="0A4DCF25"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5.23</w:t>
            </w:r>
          </w:p>
        </w:tc>
        <w:tc>
          <w:tcPr>
            <w:tcW w:w="527" w:type="pct"/>
            <w:vAlign w:val="center"/>
            <w:hideMark/>
          </w:tcPr>
          <w:p w14:paraId="66107F2D"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7,741</w:t>
            </w:r>
          </w:p>
        </w:tc>
        <w:tc>
          <w:tcPr>
            <w:tcW w:w="578" w:type="pct"/>
            <w:vAlign w:val="center"/>
            <w:hideMark/>
          </w:tcPr>
          <w:p w14:paraId="21EBDF28"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87</w:t>
            </w:r>
          </w:p>
        </w:tc>
        <w:tc>
          <w:tcPr>
            <w:tcW w:w="579" w:type="pct"/>
            <w:vAlign w:val="center"/>
            <w:hideMark/>
          </w:tcPr>
          <w:p w14:paraId="70DCB408"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South America</w:t>
            </w:r>
          </w:p>
        </w:tc>
      </w:tr>
      <w:tr w:rsidR="00E4567F" w:rsidRPr="00E4567F" w14:paraId="7B7EBABA" w14:textId="77777777" w:rsidTr="00E4567F">
        <w:trPr>
          <w:tblCellSpacing w:w="15" w:type="dxa"/>
        </w:trPr>
        <w:tc>
          <w:tcPr>
            <w:tcW w:w="936" w:type="pct"/>
            <w:vAlign w:val="center"/>
            <w:hideMark/>
          </w:tcPr>
          <w:p w14:paraId="61ABC4F0" w14:textId="77777777" w:rsidR="00E4567F" w:rsidRPr="00E4567F" w:rsidRDefault="00FA1C1A" w:rsidP="00E4567F">
            <w:pPr>
              <w:rPr>
                <w:rFonts w:eastAsia="Times New Roman" w:cs="Arial"/>
                <w:sz w:val="16"/>
                <w:szCs w:val="16"/>
                <w:lang w:eastAsia="en-ZA"/>
              </w:rPr>
            </w:pPr>
            <w:hyperlink r:id="rId35" w:history="1">
              <w:r w:rsidR="00E4567F" w:rsidRPr="00E4567F">
                <w:rPr>
                  <w:rFonts w:eastAsia="Times New Roman" w:cs="Arial"/>
                  <w:color w:val="0000FF"/>
                  <w:sz w:val="16"/>
                  <w:szCs w:val="16"/>
                  <w:u w:val="single"/>
                  <w:lang w:eastAsia="en-ZA"/>
                </w:rPr>
                <w:t>Australia</w:t>
              </w:r>
            </w:hyperlink>
          </w:p>
        </w:tc>
        <w:tc>
          <w:tcPr>
            <w:tcW w:w="411" w:type="pct"/>
            <w:vAlign w:val="center"/>
            <w:hideMark/>
          </w:tcPr>
          <w:p w14:paraId="15AF21E0"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1,359.37</w:t>
            </w:r>
          </w:p>
        </w:tc>
        <w:tc>
          <w:tcPr>
            <w:tcW w:w="234" w:type="pct"/>
            <w:vAlign w:val="center"/>
            <w:hideMark/>
          </w:tcPr>
          <w:p w14:paraId="7AB35D6C"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13</w:t>
            </w:r>
          </w:p>
        </w:tc>
        <w:tc>
          <w:tcPr>
            <w:tcW w:w="411" w:type="pct"/>
            <w:vAlign w:val="center"/>
            <w:hideMark/>
          </w:tcPr>
          <w:p w14:paraId="4E13EA46"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1,610.56</w:t>
            </w:r>
          </w:p>
        </w:tc>
        <w:tc>
          <w:tcPr>
            <w:tcW w:w="234" w:type="pct"/>
            <w:vAlign w:val="center"/>
            <w:hideMark/>
          </w:tcPr>
          <w:p w14:paraId="6D0F6AF3"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13</w:t>
            </w:r>
          </w:p>
        </w:tc>
        <w:tc>
          <w:tcPr>
            <w:tcW w:w="266" w:type="pct"/>
            <w:vAlign w:val="center"/>
            <w:hideMark/>
          </w:tcPr>
          <w:p w14:paraId="0386DF39"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1.70</w:t>
            </w:r>
          </w:p>
        </w:tc>
        <w:tc>
          <w:tcPr>
            <w:tcW w:w="291" w:type="pct"/>
            <w:vAlign w:val="center"/>
            <w:hideMark/>
          </w:tcPr>
          <w:p w14:paraId="682E3365"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35.3</w:t>
            </w:r>
          </w:p>
        </w:tc>
        <w:tc>
          <w:tcPr>
            <w:tcW w:w="334" w:type="pct"/>
            <w:vAlign w:val="center"/>
            <w:hideMark/>
          </w:tcPr>
          <w:p w14:paraId="4F76918B"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3.54</w:t>
            </w:r>
          </w:p>
        </w:tc>
        <w:tc>
          <w:tcPr>
            <w:tcW w:w="527" w:type="pct"/>
            <w:vAlign w:val="center"/>
            <w:hideMark/>
          </w:tcPr>
          <w:p w14:paraId="12BA51E6"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62,619</w:t>
            </w:r>
          </w:p>
        </w:tc>
        <w:tc>
          <w:tcPr>
            <w:tcW w:w="578" w:type="pct"/>
            <w:vAlign w:val="center"/>
            <w:hideMark/>
          </w:tcPr>
          <w:p w14:paraId="10E49436"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9</w:t>
            </w:r>
          </w:p>
        </w:tc>
        <w:tc>
          <w:tcPr>
            <w:tcW w:w="579" w:type="pct"/>
            <w:vAlign w:val="center"/>
            <w:hideMark/>
          </w:tcPr>
          <w:p w14:paraId="2C16A32D"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Oceania</w:t>
            </w:r>
          </w:p>
        </w:tc>
      </w:tr>
      <w:tr w:rsidR="00E4567F" w:rsidRPr="00E4567F" w14:paraId="4F5AAA1E" w14:textId="77777777" w:rsidTr="00E4567F">
        <w:trPr>
          <w:tblCellSpacing w:w="15" w:type="dxa"/>
        </w:trPr>
        <w:tc>
          <w:tcPr>
            <w:tcW w:w="936" w:type="pct"/>
            <w:vAlign w:val="center"/>
            <w:hideMark/>
          </w:tcPr>
          <w:p w14:paraId="47CE796A" w14:textId="77777777" w:rsidR="00E4567F" w:rsidRPr="00E4567F" w:rsidRDefault="00FA1C1A" w:rsidP="00E4567F">
            <w:pPr>
              <w:rPr>
                <w:rFonts w:eastAsia="Times New Roman" w:cs="Arial"/>
                <w:sz w:val="16"/>
                <w:szCs w:val="16"/>
                <w:lang w:eastAsia="en-ZA"/>
              </w:rPr>
            </w:pPr>
            <w:hyperlink r:id="rId36" w:history="1">
              <w:r w:rsidR="00E4567F" w:rsidRPr="00E4567F">
                <w:rPr>
                  <w:rFonts w:eastAsia="Times New Roman" w:cs="Arial"/>
                  <w:color w:val="0000FF"/>
                  <w:sz w:val="16"/>
                  <w:szCs w:val="16"/>
                  <w:u w:val="single"/>
                  <w:lang w:eastAsia="en-ZA"/>
                </w:rPr>
                <w:t>Spain</w:t>
              </w:r>
            </w:hyperlink>
          </w:p>
        </w:tc>
        <w:tc>
          <w:tcPr>
            <w:tcW w:w="411" w:type="pct"/>
            <w:vAlign w:val="center"/>
            <w:hideMark/>
          </w:tcPr>
          <w:p w14:paraId="5714BD7C"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1,280.46</w:t>
            </w:r>
          </w:p>
        </w:tc>
        <w:tc>
          <w:tcPr>
            <w:tcW w:w="234" w:type="pct"/>
            <w:vAlign w:val="center"/>
            <w:hideMark/>
          </w:tcPr>
          <w:p w14:paraId="51B6200D"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14</w:t>
            </w:r>
          </w:p>
        </w:tc>
        <w:tc>
          <w:tcPr>
            <w:tcW w:w="411" w:type="pct"/>
            <w:vAlign w:val="center"/>
            <w:hideMark/>
          </w:tcPr>
          <w:p w14:paraId="52F8830A"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1,439.96</w:t>
            </w:r>
          </w:p>
        </w:tc>
        <w:tc>
          <w:tcPr>
            <w:tcW w:w="234" w:type="pct"/>
            <w:vAlign w:val="center"/>
            <w:hideMark/>
          </w:tcPr>
          <w:p w14:paraId="22C7FB30"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14</w:t>
            </w:r>
          </w:p>
        </w:tc>
        <w:tc>
          <w:tcPr>
            <w:tcW w:w="266" w:type="pct"/>
            <w:vAlign w:val="center"/>
            <w:hideMark/>
          </w:tcPr>
          <w:p w14:paraId="6CFC3122"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1.52</w:t>
            </w:r>
          </w:p>
        </w:tc>
        <w:tc>
          <w:tcPr>
            <w:tcW w:w="291" w:type="pct"/>
            <w:vAlign w:val="center"/>
            <w:hideMark/>
          </w:tcPr>
          <w:p w14:paraId="21F5D73F"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171</w:t>
            </w:r>
          </w:p>
        </w:tc>
        <w:tc>
          <w:tcPr>
            <w:tcW w:w="334" w:type="pct"/>
            <w:vAlign w:val="center"/>
            <w:hideMark/>
          </w:tcPr>
          <w:p w14:paraId="6F4F42F5"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5.74</w:t>
            </w:r>
          </w:p>
        </w:tc>
        <w:tc>
          <w:tcPr>
            <w:tcW w:w="527" w:type="pct"/>
            <w:vAlign w:val="center"/>
            <w:hideMark/>
          </w:tcPr>
          <w:p w14:paraId="4EC89E40"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30,537</w:t>
            </w:r>
          </w:p>
        </w:tc>
        <w:tc>
          <w:tcPr>
            <w:tcW w:w="578" w:type="pct"/>
            <w:vAlign w:val="center"/>
            <w:hideMark/>
          </w:tcPr>
          <w:p w14:paraId="016BD0CD"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34</w:t>
            </w:r>
          </w:p>
        </w:tc>
        <w:tc>
          <w:tcPr>
            <w:tcW w:w="579" w:type="pct"/>
            <w:vAlign w:val="center"/>
            <w:hideMark/>
          </w:tcPr>
          <w:p w14:paraId="2035E9E5"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Europe</w:t>
            </w:r>
          </w:p>
        </w:tc>
      </w:tr>
      <w:tr w:rsidR="00E4567F" w:rsidRPr="00E4567F" w14:paraId="19C9DA1F" w14:textId="77777777" w:rsidTr="00E4567F">
        <w:trPr>
          <w:tblCellSpacing w:w="15" w:type="dxa"/>
        </w:trPr>
        <w:tc>
          <w:tcPr>
            <w:tcW w:w="936" w:type="pct"/>
            <w:vAlign w:val="center"/>
            <w:hideMark/>
          </w:tcPr>
          <w:p w14:paraId="643D2184" w14:textId="77777777" w:rsidR="00E4567F" w:rsidRPr="00E4567F" w:rsidRDefault="00FA1C1A" w:rsidP="00E4567F">
            <w:pPr>
              <w:rPr>
                <w:rFonts w:eastAsia="Times New Roman" w:cs="Arial"/>
                <w:sz w:val="16"/>
                <w:szCs w:val="16"/>
                <w:lang w:eastAsia="en-ZA"/>
              </w:rPr>
            </w:pPr>
            <w:hyperlink r:id="rId37" w:history="1">
              <w:r w:rsidR="00E4567F" w:rsidRPr="00E4567F">
                <w:rPr>
                  <w:rFonts w:eastAsia="Times New Roman" w:cs="Arial"/>
                  <w:color w:val="0000FF"/>
                  <w:sz w:val="16"/>
                  <w:szCs w:val="16"/>
                  <w:u w:val="single"/>
                  <w:lang w:eastAsia="en-ZA"/>
                </w:rPr>
                <w:t>Mexico</w:t>
              </w:r>
            </w:hyperlink>
          </w:p>
        </w:tc>
        <w:tc>
          <w:tcPr>
            <w:tcW w:w="411" w:type="pct"/>
            <w:vAlign w:val="center"/>
            <w:hideMark/>
          </w:tcPr>
          <w:p w14:paraId="183BBA98"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1,073.92</w:t>
            </w:r>
          </w:p>
        </w:tc>
        <w:tc>
          <w:tcPr>
            <w:tcW w:w="234" w:type="pct"/>
            <w:vAlign w:val="center"/>
            <w:hideMark/>
          </w:tcPr>
          <w:p w14:paraId="46721370"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15</w:t>
            </w:r>
          </w:p>
        </w:tc>
        <w:tc>
          <w:tcPr>
            <w:tcW w:w="411" w:type="pct"/>
            <w:vAlign w:val="center"/>
            <w:hideMark/>
          </w:tcPr>
          <w:p w14:paraId="21608EB3"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1,285.52</w:t>
            </w:r>
          </w:p>
        </w:tc>
        <w:tc>
          <w:tcPr>
            <w:tcW w:w="234" w:type="pct"/>
            <w:vAlign w:val="center"/>
            <w:hideMark/>
          </w:tcPr>
          <w:p w14:paraId="104F28CB"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15</w:t>
            </w:r>
          </w:p>
        </w:tc>
        <w:tc>
          <w:tcPr>
            <w:tcW w:w="266" w:type="pct"/>
            <w:vAlign w:val="center"/>
            <w:hideMark/>
          </w:tcPr>
          <w:p w14:paraId="47DCBD53"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1.35</w:t>
            </w:r>
          </w:p>
        </w:tc>
        <w:tc>
          <w:tcPr>
            <w:tcW w:w="291" w:type="pct"/>
            <w:vAlign w:val="center"/>
            <w:hideMark/>
          </w:tcPr>
          <w:p w14:paraId="7A580139"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154</w:t>
            </w:r>
          </w:p>
        </w:tc>
        <w:tc>
          <w:tcPr>
            <w:tcW w:w="334" w:type="pct"/>
            <w:vAlign w:val="center"/>
            <w:hideMark/>
          </w:tcPr>
          <w:p w14:paraId="1D33F360"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6.25</w:t>
            </w:r>
          </w:p>
        </w:tc>
        <w:tc>
          <w:tcPr>
            <w:tcW w:w="527" w:type="pct"/>
            <w:vAlign w:val="center"/>
            <w:hideMark/>
          </w:tcPr>
          <w:p w14:paraId="6D0C7387"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9,967</w:t>
            </w:r>
          </w:p>
        </w:tc>
        <w:tc>
          <w:tcPr>
            <w:tcW w:w="578" w:type="pct"/>
            <w:vAlign w:val="center"/>
            <w:hideMark/>
          </w:tcPr>
          <w:p w14:paraId="11B8F117"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72</w:t>
            </w:r>
          </w:p>
        </w:tc>
        <w:tc>
          <w:tcPr>
            <w:tcW w:w="579" w:type="pct"/>
            <w:vAlign w:val="center"/>
            <w:hideMark/>
          </w:tcPr>
          <w:p w14:paraId="7F05BA52"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North America</w:t>
            </w:r>
          </w:p>
        </w:tc>
      </w:tr>
      <w:tr w:rsidR="00E4567F" w:rsidRPr="00E4567F" w14:paraId="01147B24" w14:textId="77777777" w:rsidTr="00E4567F">
        <w:trPr>
          <w:tblCellSpacing w:w="15" w:type="dxa"/>
        </w:trPr>
        <w:tc>
          <w:tcPr>
            <w:tcW w:w="936" w:type="pct"/>
            <w:vAlign w:val="center"/>
            <w:hideMark/>
          </w:tcPr>
          <w:p w14:paraId="6FC19453" w14:textId="77777777" w:rsidR="00E4567F" w:rsidRPr="00E4567F" w:rsidRDefault="00FA1C1A" w:rsidP="00E4567F">
            <w:pPr>
              <w:rPr>
                <w:rFonts w:eastAsia="Times New Roman" w:cs="Arial"/>
                <w:sz w:val="16"/>
                <w:szCs w:val="16"/>
                <w:lang w:eastAsia="en-ZA"/>
              </w:rPr>
            </w:pPr>
            <w:hyperlink r:id="rId38" w:history="1">
              <w:r w:rsidR="00E4567F" w:rsidRPr="00E4567F">
                <w:rPr>
                  <w:rFonts w:eastAsia="Times New Roman" w:cs="Arial"/>
                  <w:color w:val="0000FF"/>
                  <w:sz w:val="16"/>
                  <w:szCs w:val="16"/>
                  <w:u w:val="single"/>
                  <w:lang w:eastAsia="en-ZA"/>
                </w:rPr>
                <w:t>Indonesia</w:t>
              </w:r>
            </w:hyperlink>
          </w:p>
        </w:tc>
        <w:tc>
          <w:tcPr>
            <w:tcW w:w="411" w:type="pct"/>
            <w:vAlign w:val="center"/>
            <w:hideMark/>
          </w:tcPr>
          <w:p w14:paraId="706435C7"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1,059.64</w:t>
            </w:r>
          </w:p>
        </w:tc>
        <w:tc>
          <w:tcPr>
            <w:tcW w:w="234" w:type="pct"/>
            <w:vAlign w:val="center"/>
            <w:hideMark/>
          </w:tcPr>
          <w:p w14:paraId="4F6FF66C"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16</w:t>
            </w:r>
          </w:p>
        </w:tc>
        <w:tc>
          <w:tcPr>
            <w:tcW w:w="411" w:type="pct"/>
            <w:vAlign w:val="center"/>
            <w:hideMark/>
          </w:tcPr>
          <w:p w14:paraId="154D7311"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1,150.25</w:t>
            </w:r>
          </w:p>
        </w:tc>
        <w:tc>
          <w:tcPr>
            <w:tcW w:w="234" w:type="pct"/>
            <w:vAlign w:val="center"/>
            <w:hideMark/>
          </w:tcPr>
          <w:p w14:paraId="574400E2"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16</w:t>
            </w:r>
          </w:p>
        </w:tc>
        <w:tc>
          <w:tcPr>
            <w:tcW w:w="266" w:type="pct"/>
            <w:vAlign w:val="center"/>
            <w:hideMark/>
          </w:tcPr>
          <w:p w14:paraId="66E2B04C"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1.21</w:t>
            </w:r>
          </w:p>
        </w:tc>
        <w:tc>
          <w:tcPr>
            <w:tcW w:w="291" w:type="pct"/>
            <w:vAlign w:val="center"/>
            <w:hideMark/>
          </w:tcPr>
          <w:p w14:paraId="2192376B"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135</w:t>
            </w:r>
          </w:p>
        </w:tc>
        <w:tc>
          <w:tcPr>
            <w:tcW w:w="334" w:type="pct"/>
            <w:vAlign w:val="center"/>
            <w:hideMark/>
          </w:tcPr>
          <w:p w14:paraId="0164B541"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3.20</w:t>
            </w:r>
          </w:p>
        </w:tc>
        <w:tc>
          <w:tcPr>
            <w:tcW w:w="527" w:type="pct"/>
            <w:vAlign w:val="center"/>
            <w:hideMark/>
          </w:tcPr>
          <w:p w14:paraId="0F8A26A1"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4,225</w:t>
            </w:r>
          </w:p>
        </w:tc>
        <w:tc>
          <w:tcPr>
            <w:tcW w:w="578" w:type="pct"/>
            <w:vAlign w:val="center"/>
            <w:hideMark/>
          </w:tcPr>
          <w:p w14:paraId="41F8A1D1"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117</w:t>
            </w:r>
          </w:p>
        </w:tc>
        <w:tc>
          <w:tcPr>
            <w:tcW w:w="579" w:type="pct"/>
            <w:vAlign w:val="center"/>
            <w:hideMark/>
          </w:tcPr>
          <w:p w14:paraId="7A649E29"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Asia</w:t>
            </w:r>
          </w:p>
        </w:tc>
      </w:tr>
      <w:tr w:rsidR="00E4567F" w:rsidRPr="00E4567F" w14:paraId="35796753" w14:textId="77777777" w:rsidTr="00E4567F">
        <w:trPr>
          <w:tblCellSpacing w:w="15" w:type="dxa"/>
        </w:trPr>
        <w:tc>
          <w:tcPr>
            <w:tcW w:w="936" w:type="pct"/>
            <w:vAlign w:val="center"/>
            <w:hideMark/>
          </w:tcPr>
          <w:p w14:paraId="09C4CB74" w14:textId="77777777" w:rsidR="00E4567F" w:rsidRPr="00E4567F" w:rsidRDefault="00FA1C1A" w:rsidP="00E4567F">
            <w:pPr>
              <w:rPr>
                <w:rFonts w:eastAsia="Times New Roman" w:cs="Arial"/>
                <w:sz w:val="16"/>
                <w:szCs w:val="16"/>
                <w:lang w:eastAsia="en-ZA"/>
              </w:rPr>
            </w:pPr>
            <w:hyperlink r:id="rId39" w:history="1">
              <w:r w:rsidR="00E4567F" w:rsidRPr="00E4567F">
                <w:rPr>
                  <w:rFonts w:eastAsia="Times New Roman" w:cs="Arial"/>
                  <w:color w:val="0000FF"/>
                  <w:sz w:val="16"/>
                  <w:szCs w:val="16"/>
                  <w:u w:val="single"/>
                  <w:lang w:eastAsia="en-ZA"/>
                </w:rPr>
                <w:t>Islamic Republic of Iran</w:t>
              </w:r>
            </w:hyperlink>
          </w:p>
        </w:tc>
        <w:tc>
          <w:tcPr>
            <w:tcW w:w="411" w:type="pct"/>
            <w:vAlign w:val="center"/>
            <w:hideMark/>
          </w:tcPr>
          <w:p w14:paraId="5DBDDD88"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835.35</w:t>
            </w:r>
          </w:p>
        </w:tc>
        <w:tc>
          <w:tcPr>
            <w:tcW w:w="234" w:type="pct"/>
            <w:vAlign w:val="center"/>
            <w:hideMark/>
          </w:tcPr>
          <w:p w14:paraId="57E89F2E"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18</w:t>
            </w:r>
          </w:p>
        </w:tc>
        <w:tc>
          <w:tcPr>
            <w:tcW w:w="411" w:type="pct"/>
            <w:vAlign w:val="center"/>
            <w:hideMark/>
          </w:tcPr>
          <w:p w14:paraId="122F981B"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1,081.38</w:t>
            </w:r>
          </w:p>
        </w:tc>
        <w:tc>
          <w:tcPr>
            <w:tcW w:w="234" w:type="pct"/>
            <w:vAlign w:val="center"/>
            <w:hideMark/>
          </w:tcPr>
          <w:p w14:paraId="46EB08F8"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17</w:t>
            </w:r>
          </w:p>
        </w:tc>
        <w:tc>
          <w:tcPr>
            <w:tcW w:w="266" w:type="pct"/>
            <w:vAlign w:val="center"/>
            <w:hideMark/>
          </w:tcPr>
          <w:p w14:paraId="41C3DEAC"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1.14</w:t>
            </w:r>
          </w:p>
        </w:tc>
        <w:tc>
          <w:tcPr>
            <w:tcW w:w="291" w:type="pct"/>
            <w:vAlign w:val="center"/>
            <w:hideMark/>
          </w:tcPr>
          <w:p w14:paraId="12423864"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68.9</w:t>
            </w:r>
          </w:p>
        </w:tc>
        <w:tc>
          <w:tcPr>
            <w:tcW w:w="334" w:type="pct"/>
            <w:vAlign w:val="center"/>
            <w:hideMark/>
          </w:tcPr>
          <w:p w14:paraId="117A07E2"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2.46</w:t>
            </w:r>
          </w:p>
        </w:tc>
        <w:tc>
          <w:tcPr>
            <w:tcW w:w="527" w:type="pct"/>
            <w:vAlign w:val="center"/>
            <w:hideMark/>
          </w:tcPr>
          <w:p w14:paraId="118D1B62"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12,725</w:t>
            </w:r>
          </w:p>
        </w:tc>
        <w:tc>
          <w:tcPr>
            <w:tcW w:w="578" w:type="pct"/>
            <w:vAlign w:val="center"/>
            <w:hideMark/>
          </w:tcPr>
          <w:p w14:paraId="6D602D81"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62</w:t>
            </w:r>
          </w:p>
        </w:tc>
        <w:tc>
          <w:tcPr>
            <w:tcW w:w="579" w:type="pct"/>
            <w:vAlign w:val="center"/>
            <w:hideMark/>
          </w:tcPr>
          <w:p w14:paraId="1DBEA2D4"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Asia</w:t>
            </w:r>
          </w:p>
        </w:tc>
      </w:tr>
      <w:tr w:rsidR="00E4567F" w:rsidRPr="00E4567F" w14:paraId="56BDA2A0" w14:textId="77777777" w:rsidTr="00E4567F">
        <w:trPr>
          <w:tblCellSpacing w:w="15" w:type="dxa"/>
        </w:trPr>
        <w:tc>
          <w:tcPr>
            <w:tcW w:w="936" w:type="pct"/>
            <w:vAlign w:val="center"/>
            <w:hideMark/>
          </w:tcPr>
          <w:p w14:paraId="0D7D997F" w14:textId="77777777" w:rsidR="00E4567F" w:rsidRPr="00E4567F" w:rsidRDefault="00FA1C1A" w:rsidP="00E4567F">
            <w:pPr>
              <w:rPr>
                <w:rFonts w:eastAsia="Times New Roman" w:cs="Arial"/>
                <w:sz w:val="16"/>
                <w:szCs w:val="16"/>
                <w:lang w:eastAsia="en-ZA"/>
              </w:rPr>
            </w:pPr>
            <w:hyperlink r:id="rId40" w:history="1">
              <w:r w:rsidR="00E4567F" w:rsidRPr="00E4567F">
                <w:rPr>
                  <w:rFonts w:eastAsia="Times New Roman" w:cs="Arial"/>
                  <w:color w:val="0000FF"/>
                  <w:sz w:val="16"/>
                  <w:szCs w:val="16"/>
                  <w:u w:val="single"/>
                  <w:lang w:eastAsia="en-ZA"/>
                </w:rPr>
                <w:t>Netherlands</w:t>
              </w:r>
            </w:hyperlink>
          </w:p>
        </w:tc>
        <w:tc>
          <w:tcPr>
            <w:tcW w:w="411" w:type="pct"/>
            <w:vAlign w:val="center"/>
            <w:hideMark/>
          </w:tcPr>
          <w:p w14:paraId="26765569"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913.13</w:t>
            </w:r>
          </w:p>
        </w:tc>
        <w:tc>
          <w:tcPr>
            <w:tcW w:w="234" w:type="pct"/>
            <w:vAlign w:val="center"/>
            <w:hideMark/>
          </w:tcPr>
          <w:p w14:paraId="24B7606F"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17</w:t>
            </w:r>
          </w:p>
        </w:tc>
        <w:tc>
          <w:tcPr>
            <w:tcW w:w="411" w:type="pct"/>
            <w:vAlign w:val="center"/>
            <w:hideMark/>
          </w:tcPr>
          <w:p w14:paraId="29FB3A26"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1,007.56</w:t>
            </w:r>
          </w:p>
        </w:tc>
        <w:tc>
          <w:tcPr>
            <w:tcW w:w="234" w:type="pct"/>
            <w:vAlign w:val="center"/>
            <w:hideMark/>
          </w:tcPr>
          <w:p w14:paraId="25F283A5"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18</w:t>
            </w:r>
          </w:p>
        </w:tc>
        <w:tc>
          <w:tcPr>
            <w:tcW w:w="266" w:type="pct"/>
            <w:vAlign w:val="center"/>
            <w:hideMark/>
          </w:tcPr>
          <w:p w14:paraId="63B1217D"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1.06</w:t>
            </w:r>
          </w:p>
        </w:tc>
        <w:tc>
          <w:tcPr>
            <w:tcW w:w="291" w:type="pct"/>
            <w:vAlign w:val="center"/>
            <w:hideMark/>
          </w:tcPr>
          <w:p w14:paraId="1D5E9C5E"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73.8</w:t>
            </w:r>
          </w:p>
        </w:tc>
        <w:tc>
          <w:tcPr>
            <w:tcW w:w="334" w:type="pct"/>
            <w:vAlign w:val="center"/>
            <w:hideMark/>
          </w:tcPr>
          <w:p w14:paraId="51A18176"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3.77</w:t>
            </w:r>
          </w:p>
        </w:tc>
        <w:tc>
          <w:tcPr>
            <w:tcW w:w="527" w:type="pct"/>
            <w:vAlign w:val="center"/>
            <w:hideMark/>
          </w:tcPr>
          <w:p w14:paraId="3BF0785D"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57,715</w:t>
            </w:r>
          </w:p>
        </w:tc>
        <w:tc>
          <w:tcPr>
            <w:tcW w:w="578" w:type="pct"/>
            <w:vAlign w:val="center"/>
            <w:hideMark/>
          </w:tcPr>
          <w:p w14:paraId="1346623A"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12</w:t>
            </w:r>
          </w:p>
        </w:tc>
        <w:tc>
          <w:tcPr>
            <w:tcW w:w="579" w:type="pct"/>
            <w:vAlign w:val="center"/>
            <w:hideMark/>
          </w:tcPr>
          <w:p w14:paraId="0E3307C4"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Europe</w:t>
            </w:r>
          </w:p>
        </w:tc>
      </w:tr>
      <w:tr w:rsidR="00E4567F" w:rsidRPr="00E4567F" w14:paraId="370149EE" w14:textId="77777777" w:rsidTr="00E4567F">
        <w:trPr>
          <w:tblCellSpacing w:w="15" w:type="dxa"/>
        </w:trPr>
        <w:tc>
          <w:tcPr>
            <w:tcW w:w="936" w:type="pct"/>
            <w:vAlign w:val="center"/>
            <w:hideMark/>
          </w:tcPr>
          <w:p w14:paraId="4414A559" w14:textId="77777777" w:rsidR="00E4567F" w:rsidRPr="00E4567F" w:rsidRDefault="00FA1C1A" w:rsidP="00E4567F">
            <w:pPr>
              <w:rPr>
                <w:rFonts w:eastAsia="Times New Roman" w:cs="Arial"/>
                <w:sz w:val="16"/>
                <w:szCs w:val="16"/>
                <w:lang w:eastAsia="en-ZA"/>
              </w:rPr>
            </w:pPr>
            <w:hyperlink r:id="rId41" w:history="1">
              <w:r w:rsidR="00E4567F" w:rsidRPr="00E4567F">
                <w:rPr>
                  <w:rFonts w:eastAsia="Times New Roman" w:cs="Arial"/>
                  <w:color w:val="0000FF"/>
                  <w:sz w:val="16"/>
                  <w:szCs w:val="16"/>
                  <w:u w:val="single"/>
                  <w:lang w:eastAsia="en-ZA"/>
                </w:rPr>
                <w:t>Saudi Arabia</w:t>
              </w:r>
            </w:hyperlink>
          </w:p>
        </w:tc>
        <w:tc>
          <w:tcPr>
            <w:tcW w:w="411" w:type="pct"/>
            <w:vAlign w:val="center"/>
            <w:hideMark/>
          </w:tcPr>
          <w:p w14:paraId="67181D46"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700.12</w:t>
            </w:r>
          </w:p>
        </w:tc>
        <w:tc>
          <w:tcPr>
            <w:tcW w:w="234" w:type="pct"/>
            <w:vAlign w:val="center"/>
            <w:hideMark/>
          </w:tcPr>
          <w:p w14:paraId="2327ED62"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21</w:t>
            </w:r>
          </w:p>
        </w:tc>
        <w:tc>
          <w:tcPr>
            <w:tcW w:w="411" w:type="pct"/>
            <w:vAlign w:val="center"/>
            <w:hideMark/>
          </w:tcPr>
          <w:p w14:paraId="4DCA921B"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842.59</w:t>
            </w:r>
          </w:p>
        </w:tc>
        <w:tc>
          <w:tcPr>
            <w:tcW w:w="234" w:type="pct"/>
            <w:vAlign w:val="center"/>
            <w:hideMark/>
          </w:tcPr>
          <w:p w14:paraId="6F53F6EA"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19</w:t>
            </w:r>
          </w:p>
        </w:tc>
        <w:tc>
          <w:tcPr>
            <w:tcW w:w="266" w:type="pct"/>
            <w:vAlign w:val="center"/>
            <w:hideMark/>
          </w:tcPr>
          <w:p w14:paraId="03345870"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0.888</w:t>
            </w:r>
          </w:p>
        </w:tc>
        <w:tc>
          <w:tcPr>
            <w:tcW w:w="291" w:type="pct"/>
            <w:vAlign w:val="center"/>
            <w:hideMark/>
          </w:tcPr>
          <w:p w14:paraId="0A3163AF"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165</w:t>
            </w:r>
          </w:p>
        </w:tc>
        <w:tc>
          <w:tcPr>
            <w:tcW w:w="334" w:type="pct"/>
            <w:vAlign w:val="center"/>
            <w:hideMark/>
          </w:tcPr>
          <w:p w14:paraId="23C9DD63"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2.84</w:t>
            </w:r>
          </w:p>
        </w:tc>
        <w:tc>
          <w:tcPr>
            <w:tcW w:w="527" w:type="pct"/>
            <w:vAlign w:val="center"/>
            <w:hideMark/>
          </w:tcPr>
          <w:p w14:paraId="123EDAE7"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23,762</w:t>
            </w:r>
          </w:p>
        </w:tc>
        <w:tc>
          <w:tcPr>
            <w:tcW w:w="578" w:type="pct"/>
            <w:vAlign w:val="center"/>
            <w:hideMark/>
          </w:tcPr>
          <w:p w14:paraId="10608023"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44</w:t>
            </w:r>
          </w:p>
        </w:tc>
        <w:tc>
          <w:tcPr>
            <w:tcW w:w="579" w:type="pct"/>
            <w:vAlign w:val="center"/>
            <w:hideMark/>
          </w:tcPr>
          <w:p w14:paraId="612080FD"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Asia</w:t>
            </w:r>
          </w:p>
        </w:tc>
      </w:tr>
      <w:tr w:rsidR="00E4567F" w:rsidRPr="00E4567F" w14:paraId="60A5F994" w14:textId="77777777" w:rsidTr="00E4567F">
        <w:trPr>
          <w:tblCellSpacing w:w="15" w:type="dxa"/>
        </w:trPr>
        <w:tc>
          <w:tcPr>
            <w:tcW w:w="936" w:type="pct"/>
            <w:vAlign w:val="center"/>
            <w:hideMark/>
          </w:tcPr>
          <w:p w14:paraId="477E13B7" w14:textId="77777777" w:rsidR="00E4567F" w:rsidRPr="00E4567F" w:rsidRDefault="00FA1C1A" w:rsidP="00E4567F">
            <w:pPr>
              <w:rPr>
                <w:rFonts w:eastAsia="Times New Roman" w:cs="Arial"/>
                <w:sz w:val="16"/>
                <w:szCs w:val="16"/>
                <w:lang w:eastAsia="en-ZA"/>
              </w:rPr>
            </w:pPr>
            <w:hyperlink r:id="rId42" w:history="1">
              <w:r w:rsidR="00E4567F" w:rsidRPr="00E4567F">
                <w:rPr>
                  <w:rFonts w:eastAsia="Times New Roman" w:cs="Arial"/>
                  <w:color w:val="0000FF"/>
                  <w:sz w:val="16"/>
                  <w:szCs w:val="16"/>
                  <w:u w:val="single"/>
                  <w:lang w:eastAsia="en-ZA"/>
                </w:rPr>
                <w:t>Switzerland</w:t>
              </w:r>
            </w:hyperlink>
          </w:p>
        </w:tc>
        <w:tc>
          <w:tcPr>
            <w:tcW w:w="411" w:type="pct"/>
            <w:vAlign w:val="center"/>
            <w:hideMark/>
          </w:tcPr>
          <w:p w14:paraId="4AC72EAB"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751.88</w:t>
            </w:r>
          </w:p>
        </w:tc>
        <w:tc>
          <w:tcPr>
            <w:tcW w:w="234" w:type="pct"/>
            <w:vAlign w:val="center"/>
            <w:hideMark/>
          </w:tcPr>
          <w:p w14:paraId="56563222"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19</w:t>
            </w:r>
          </w:p>
        </w:tc>
        <w:tc>
          <w:tcPr>
            <w:tcW w:w="411" w:type="pct"/>
            <w:vAlign w:val="center"/>
            <w:hideMark/>
          </w:tcPr>
          <w:p w14:paraId="43CE1E4A"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810.83</w:t>
            </w:r>
          </w:p>
        </w:tc>
        <w:tc>
          <w:tcPr>
            <w:tcW w:w="234" w:type="pct"/>
            <w:vAlign w:val="center"/>
            <w:hideMark/>
          </w:tcPr>
          <w:p w14:paraId="556CD1DA"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20</w:t>
            </w:r>
          </w:p>
        </w:tc>
        <w:tc>
          <w:tcPr>
            <w:tcW w:w="266" w:type="pct"/>
            <w:vAlign w:val="center"/>
            <w:hideMark/>
          </w:tcPr>
          <w:p w14:paraId="4ABB7149"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0.854</w:t>
            </w:r>
          </w:p>
        </w:tc>
        <w:tc>
          <w:tcPr>
            <w:tcW w:w="291" w:type="pct"/>
            <w:vAlign w:val="center"/>
            <w:hideMark/>
          </w:tcPr>
          <w:p w14:paraId="13F5D63D"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31.8</w:t>
            </w:r>
          </w:p>
        </w:tc>
        <w:tc>
          <w:tcPr>
            <w:tcW w:w="334" w:type="pct"/>
            <w:vAlign w:val="center"/>
            <w:hideMark/>
          </w:tcPr>
          <w:p w14:paraId="59289808"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3.71</w:t>
            </w:r>
          </w:p>
        </w:tc>
        <w:tc>
          <w:tcPr>
            <w:tcW w:w="527" w:type="pct"/>
            <w:vAlign w:val="center"/>
            <w:hideMark/>
          </w:tcPr>
          <w:p w14:paraId="055D5BC1"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93,515</w:t>
            </w:r>
          </w:p>
        </w:tc>
        <w:tc>
          <w:tcPr>
            <w:tcW w:w="578" w:type="pct"/>
            <w:vAlign w:val="center"/>
            <w:hideMark/>
          </w:tcPr>
          <w:p w14:paraId="69959D5A"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3</w:t>
            </w:r>
          </w:p>
        </w:tc>
        <w:tc>
          <w:tcPr>
            <w:tcW w:w="579" w:type="pct"/>
            <w:vAlign w:val="center"/>
            <w:hideMark/>
          </w:tcPr>
          <w:p w14:paraId="2BC28646"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Europe</w:t>
            </w:r>
          </w:p>
        </w:tc>
      </w:tr>
      <w:tr w:rsidR="00E4567F" w:rsidRPr="00E4567F" w14:paraId="3A3A740A" w14:textId="77777777" w:rsidTr="00E4567F">
        <w:trPr>
          <w:tblCellSpacing w:w="15" w:type="dxa"/>
        </w:trPr>
        <w:tc>
          <w:tcPr>
            <w:tcW w:w="936" w:type="pct"/>
            <w:vAlign w:val="center"/>
            <w:hideMark/>
          </w:tcPr>
          <w:p w14:paraId="5A648DE9" w14:textId="77777777" w:rsidR="00E4567F" w:rsidRPr="00E4567F" w:rsidRDefault="00FA1C1A" w:rsidP="00E4567F">
            <w:pPr>
              <w:rPr>
                <w:rFonts w:eastAsia="Times New Roman" w:cs="Arial"/>
                <w:sz w:val="16"/>
                <w:szCs w:val="16"/>
                <w:lang w:eastAsia="en-ZA"/>
              </w:rPr>
            </w:pPr>
            <w:hyperlink r:id="rId43" w:history="1">
              <w:r w:rsidR="00E4567F" w:rsidRPr="00E4567F">
                <w:rPr>
                  <w:rFonts w:eastAsia="Times New Roman" w:cs="Arial"/>
                  <w:color w:val="0000FF"/>
                  <w:sz w:val="16"/>
                  <w:szCs w:val="16"/>
                  <w:u w:val="single"/>
                  <w:lang w:eastAsia="en-ZA"/>
                </w:rPr>
                <w:t>Turkey</w:t>
              </w:r>
            </w:hyperlink>
          </w:p>
        </w:tc>
        <w:tc>
          <w:tcPr>
            <w:tcW w:w="411" w:type="pct"/>
            <w:vAlign w:val="center"/>
            <w:hideMark/>
          </w:tcPr>
          <w:p w14:paraId="5EA51A1B"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719.92</w:t>
            </w:r>
          </w:p>
        </w:tc>
        <w:tc>
          <w:tcPr>
            <w:tcW w:w="234" w:type="pct"/>
            <w:vAlign w:val="center"/>
            <w:hideMark/>
          </w:tcPr>
          <w:p w14:paraId="7EE75E50"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20</w:t>
            </w:r>
          </w:p>
        </w:tc>
        <w:tc>
          <w:tcPr>
            <w:tcW w:w="411" w:type="pct"/>
            <w:vAlign w:val="center"/>
            <w:hideMark/>
          </w:tcPr>
          <w:p w14:paraId="0D1A2178"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795.95</w:t>
            </w:r>
          </w:p>
        </w:tc>
        <w:tc>
          <w:tcPr>
            <w:tcW w:w="234" w:type="pct"/>
            <w:vAlign w:val="center"/>
            <w:hideMark/>
          </w:tcPr>
          <w:p w14:paraId="3E82BC8E"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21</w:t>
            </w:r>
          </w:p>
        </w:tc>
        <w:tc>
          <w:tcPr>
            <w:tcW w:w="266" w:type="pct"/>
            <w:vAlign w:val="center"/>
            <w:hideMark/>
          </w:tcPr>
          <w:p w14:paraId="388863C3"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0.838</w:t>
            </w:r>
          </w:p>
        </w:tc>
        <w:tc>
          <w:tcPr>
            <w:tcW w:w="291" w:type="pct"/>
            <w:vAlign w:val="center"/>
            <w:hideMark/>
          </w:tcPr>
          <w:p w14:paraId="6367F0F3"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14.9</w:t>
            </w:r>
          </w:p>
        </w:tc>
        <w:tc>
          <w:tcPr>
            <w:tcW w:w="334" w:type="pct"/>
            <w:vAlign w:val="center"/>
            <w:hideMark/>
          </w:tcPr>
          <w:p w14:paraId="25939490"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8.95</w:t>
            </w:r>
          </w:p>
        </w:tc>
        <w:tc>
          <w:tcPr>
            <w:tcW w:w="527" w:type="pct"/>
            <w:vAlign w:val="center"/>
            <w:hideMark/>
          </w:tcPr>
          <w:p w14:paraId="29B71C93"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9,407</w:t>
            </w:r>
          </w:p>
        </w:tc>
        <w:tc>
          <w:tcPr>
            <w:tcW w:w="578" w:type="pct"/>
            <w:vAlign w:val="center"/>
            <w:hideMark/>
          </w:tcPr>
          <w:p w14:paraId="70CFF915"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76</w:t>
            </w:r>
          </w:p>
        </w:tc>
        <w:tc>
          <w:tcPr>
            <w:tcW w:w="579" w:type="pct"/>
            <w:vAlign w:val="center"/>
            <w:hideMark/>
          </w:tcPr>
          <w:p w14:paraId="759397FB"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Europe</w:t>
            </w:r>
          </w:p>
        </w:tc>
      </w:tr>
      <w:tr w:rsidR="00E4567F" w:rsidRPr="00E4567F" w14:paraId="59D211E1" w14:textId="77777777" w:rsidTr="00E4567F">
        <w:trPr>
          <w:tblCellSpacing w:w="15" w:type="dxa"/>
        </w:trPr>
        <w:tc>
          <w:tcPr>
            <w:tcW w:w="936" w:type="pct"/>
            <w:vAlign w:val="center"/>
            <w:hideMark/>
          </w:tcPr>
          <w:p w14:paraId="6F828736" w14:textId="77777777" w:rsidR="00E4567F" w:rsidRPr="00E4567F" w:rsidRDefault="00FA1C1A" w:rsidP="00E4567F">
            <w:pPr>
              <w:rPr>
                <w:rFonts w:eastAsia="Times New Roman" w:cs="Arial"/>
                <w:sz w:val="16"/>
                <w:szCs w:val="16"/>
                <w:lang w:eastAsia="en-ZA"/>
              </w:rPr>
            </w:pPr>
            <w:hyperlink r:id="rId44" w:history="1">
              <w:r w:rsidR="00E4567F" w:rsidRPr="00E4567F">
                <w:rPr>
                  <w:rFonts w:eastAsia="Times New Roman" w:cs="Arial"/>
                  <w:color w:val="0000FF"/>
                  <w:sz w:val="16"/>
                  <w:szCs w:val="16"/>
                  <w:u w:val="single"/>
                  <w:lang w:eastAsia="en-ZA"/>
                </w:rPr>
                <w:t>Taiwan Province of China</w:t>
              </w:r>
            </w:hyperlink>
          </w:p>
        </w:tc>
        <w:tc>
          <w:tcPr>
            <w:tcW w:w="411" w:type="pct"/>
            <w:vAlign w:val="center"/>
            <w:hideMark/>
          </w:tcPr>
          <w:p w14:paraId="7D8A0BD0"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668.16</w:t>
            </w:r>
          </w:p>
        </w:tc>
        <w:tc>
          <w:tcPr>
            <w:tcW w:w="234" w:type="pct"/>
            <w:vAlign w:val="center"/>
            <w:hideMark/>
          </w:tcPr>
          <w:p w14:paraId="33F42BAA"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22</w:t>
            </w:r>
          </w:p>
        </w:tc>
        <w:tc>
          <w:tcPr>
            <w:tcW w:w="411" w:type="pct"/>
            <w:vAlign w:val="center"/>
            <w:hideMark/>
          </w:tcPr>
          <w:p w14:paraId="393BF166"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785.59</w:t>
            </w:r>
          </w:p>
        </w:tc>
        <w:tc>
          <w:tcPr>
            <w:tcW w:w="234" w:type="pct"/>
            <w:vAlign w:val="center"/>
            <w:hideMark/>
          </w:tcPr>
          <w:p w14:paraId="4BA8AB53"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22</w:t>
            </w:r>
          </w:p>
        </w:tc>
        <w:tc>
          <w:tcPr>
            <w:tcW w:w="266" w:type="pct"/>
            <w:vAlign w:val="center"/>
            <w:hideMark/>
          </w:tcPr>
          <w:p w14:paraId="20C15DC1"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0.828</w:t>
            </w:r>
          </w:p>
        </w:tc>
        <w:tc>
          <w:tcPr>
            <w:tcW w:w="291" w:type="pct"/>
            <w:vAlign w:val="center"/>
            <w:hideMark/>
          </w:tcPr>
          <w:p w14:paraId="35367D58"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10.4</w:t>
            </w:r>
          </w:p>
        </w:tc>
        <w:tc>
          <w:tcPr>
            <w:tcW w:w="334" w:type="pct"/>
            <w:vAlign w:val="center"/>
            <w:hideMark/>
          </w:tcPr>
          <w:p w14:paraId="067376B5"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5.86</w:t>
            </w:r>
          </w:p>
        </w:tc>
        <w:tc>
          <w:tcPr>
            <w:tcW w:w="527" w:type="pct"/>
            <w:vAlign w:val="center"/>
            <w:hideMark/>
          </w:tcPr>
          <w:p w14:paraId="169DBA26"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33,402</w:t>
            </w:r>
          </w:p>
        </w:tc>
        <w:tc>
          <w:tcPr>
            <w:tcW w:w="578" w:type="pct"/>
            <w:vAlign w:val="center"/>
            <w:hideMark/>
          </w:tcPr>
          <w:p w14:paraId="3BFB06B7"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32</w:t>
            </w:r>
          </w:p>
        </w:tc>
        <w:tc>
          <w:tcPr>
            <w:tcW w:w="579" w:type="pct"/>
            <w:vAlign w:val="center"/>
            <w:hideMark/>
          </w:tcPr>
          <w:p w14:paraId="283D7C30"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Asia</w:t>
            </w:r>
          </w:p>
        </w:tc>
      </w:tr>
      <w:tr w:rsidR="00E4567F" w:rsidRPr="00E4567F" w14:paraId="525CB533" w14:textId="77777777" w:rsidTr="00E4567F">
        <w:trPr>
          <w:tblCellSpacing w:w="15" w:type="dxa"/>
        </w:trPr>
        <w:tc>
          <w:tcPr>
            <w:tcW w:w="936" w:type="pct"/>
            <w:vAlign w:val="center"/>
            <w:hideMark/>
          </w:tcPr>
          <w:p w14:paraId="6B04D9C6" w14:textId="77777777" w:rsidR="00E4567F" w:rsidRPr="00E4567F" w:rsidRDefault="00FA1C1A" w:rsidP="00E4567F">
            <w:pPr>
              <w:rPr>
                <w:rFonts w:eastAsia="Times New Roman" w:cs="Arial"/>
                <w:sz w:val="16"/>
                <w:szCs w:val="16"/>
                <w:lang w:eastAsia="en-ZA"/>
              </w:rPr>
            </w:pPr>
            <w:hyperlink r:id="rId45" w:history="1">
              <w:r w:rsidR="00E4567F" w:rsidRPr="00E4567F">
                <w:rPr>
                  <w:rFonts w:eastAsia="Times New Roman" w:cs="Arial"/>
                  <w:color w:val="0000FF"/>
                  <w:sz w:val="16"/>
                  <w:szCs w:val="16"/>
                  <w:u w:val="single"/>
                  <w:lang w:eastAsia="en-ZA"/>
                </w:rPr>
                <w:t>Poland</w:t>
              </w:r>
            </w:hyperlink>
          </w:p>
        </w:tc>
        <w:tc>
          <w:tcPr>
            <w:tcW w:w="411" w:type="pct"/>
            <w:vAlign w:val="center"/>
            <w:hideMark/>
          </w:tcPr>
          <w:p w14:paraId="3423767E"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595.92</w:t>
            </w:r>
          </w:p>
        </w:tc>
        <w:tc>
          <w:tcPr>
            <w:tcW w:w="234" w:type="pct"/>
            <w:vAlign w:val="center"/>
            <w:hideMark/>
          </w:tcPr>
          <w:p w14:paraId="4F859976"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23</w:t>
            </w:r>
          </w:p>
        </w:tc>
        <w:tc>
          <w:tcPr>
            <w:tcW w:w="411" w:type="pct"/>
            <w:vAlign w:val="center"/>
            <w:hideMark/>
          </w:tcPr>
          <w:p w14:paraId="535D2DF7"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655.33</w:t>
            </w:r>
          </w:p>
        </w:tc>
        <w:tc>
          <w:tcPr>
            <w:tcW w:w="234" w:type="pct"/>
            <w:vAlign w:val="center"/>
            <w:hideMark/>
          </w:tcPr>
          <w:p w14:paraId="38B93E5D"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23</w:t>
            </w:r>
          </w:p>
        </w:tc>
        <w:tc>
          <w:tcPr>
            <w:tcW w:w="266" w:type="pct"/>
            <w:vAlign w:val="center"/>
            <w:hideMark/>
          </w:tcPr>
          <w:p w14:paraId="359A4343"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0.690</w:t>
            </w:r>
          </w:p>
        </w:tc>
        <w:tc>
          <w:tcPr>
            <w:tcW w:w="291" w:type="pct"/>
            <w:vAlign w:val="center"/>
            <w:hideMark/>
          </w:tcPr>
          <w:p w14:paraId="7A133422"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130</w:t>
            </w:r>
          </w:p>
        </w:tc>
        <w:tc>
          <w:tcPr>
            <w:tcW w:w="334" w:type="pct"/>
            <w:vAlign w:val="center"/>
            <w:hideMark/>
          </w:tcPr>
          <w:p w14:paraId="4DC3F18A"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5.12</w:t>
            </w:r>
          </w:p>
        </w:tc>
        <w:tc>
          <w:tcPr>
            <w:tcW w:w="527" w:type="pct"/>
            <w:vAlign w:val="center"/>
            <w:hideMark/>
          </w:tcPr>
          <w:p w14:paraId="71161844"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17,319</w:t>
            </w:r>
          </w:p>
        </w:tc>
        <w:tc>
          <w:tcPr>
            <w:tcW w:w="578" w:type="pct"/>
            <w:vAlign w:val="center"/>
            <w:hideMark/>
          </w:tcPr>
          <w:p w14:paraId="77ADE06F"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51</w:t>
            </w:r>
          </w:p>
        </w:tc>
        <w:tc>
          <w:tcPr>
            <w:tcW w:w="579" w:type="pct"/>
            <w:vAlign w:val="center"/>
            <w:hideMark/>
          </w:tcPr>
          <w:p w14:paraId="64880CB7"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Europe</w:t>
            </w:r>
          </w:p>
        </w:tc>
      </w:tr>
      <w:tr w:rsidR="00E4567F" w:rsidRPr="00E4567F" w14:paraId="2423FFFF" w14:textId="77777777" w:rsidTr="00E4567F">
        <w:trPr>
          <w:tblCellSpacing w:w="15" w:type="dxa"/>
        </w:trPr>
        <w:tc>
          <w:tcPr>
            <w:tcW w:w="936" w:type="pct"/>
            <w:vAlign w:val="center"/>
            <w:hideMark/>
          </w:tcPr>
          <w:p w14:paraId="49A054DF" w14:textId="77777777" w:rsidR="00E4567F" w:rsidRPr="00E4567F" w:rsidRDefault="00FA1C1A" w:rsidP="00E4567F">
            <w:pPr>
              <w:rPr>
                <w:rFonts w:eastAsia="Times New Roman" w:cs="Arial"/>
                <w:sz w:val="16"/>
                <w:szCs w:val="16"/>
                <w:lang w:eastAsia="en-ZA"/>
              </w:rPr>
            </w:pPr>
            <w:hyperlink r:id="rId46" w:history="1">
              <w:r w:rsidR="00E4567F" w:rsidRPr="00E4567F">
                <w:rPr>
                  <w:rFonts w:eastAsia="Times New Roman" w:cs="Arial"/>
                  <w:color w:val="0000FF"/>
                  <w:sz w:val="16"/>
                  <w:szCs w:val="16"/>
                  <w:u w:val="single"/>
                  <w:lang w:eastAsia="en-ZA"/>
                </w:rPr>
                <w:t>Sweden</w:t>
              </w:r>
            </w:hyperlink>
          </w:p>
        </w:tc>
        <w:tc>
          <w:tcPr>
            <w:tcW w:w="411" w:type="pct"/>
            <w:vAlign w:val="center"/>
            <w:hideMark/>
          </w:tcPr>
          <w:p w14:paraId="26E4C5B5"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541.06</w:t>
            </w:r>
          </w:p>
        </w:tc>
        <w:tc>
          <w:tcPr>
            <w:tcW w:w="234" w:type="pct"/>
            <w:vAlign w:val="center"/>
            <w:hideMark/>
          </w:tcPr>
          <w:p w14:paraId="31816A4D"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24</w:t>
            </w:r>
          </w:p>
        </w:tc>
        <w:tc>
          <w:tcPr>
            <w:tcW w:w="411" w:type="pct"/>
            <w:vAlign w:val="center"/>
            <w:hideMark/>
          </w:tcPr>
          <w:p w14:paraId="4CD7D2A1"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622.37</w:t>
            </w:r>
          </w:p>
        </w:tc>
        <w:tc>
          <w:tcPr>
            <w:tcW w:w="234" w:type="pct"/>
            <w:vAlign w:val="center"/>
            <w:hideMark/>
          </w:tcPr>
          <w:p w14:paraId="0EB84F58"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24</w:t>
            </w:r>
          </w:p>
        </w:tc>
        <w:tc>
          <w:tcPr>
            <w:tcW w:w="266" w:type="pct"/>
            <w:vAlign w:val="center"/>
            <w:hideMark/>
          </w:tcPr>
          <w:p w14:paraId="4FC8A92D"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0.656</w:t>
            </w:r>
          </w:p>
        </w:tc>
        <w:tc>
          <w:tcPr>
            <w:tcW w:w="291" w:type="pct"/>
            <w:vAlign w:val="center"/>
            <w:hideMark/>
          </w:tcPr>
          <w:p w14:paraId="600F04C1"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33.0</w:t>
            </w:r>
          </w:p>
        </w:tc>
        <w:tc>
          <w:tcPr>
            <w:tcW w:w="334" w:type="pct"/>
            <w:vAlign w:val="center"/>
            <w:hideMark/>
          </w:tcPr>
          <w:p w14:paraId="3B363F0C"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4.04</w:t>
            </w:r>
          </w:p>
        </w:tc>
        <w:tc>
          <w:tcPr>
            <w:tcW w:w="527" w:type="pct"/>
            <w:vAlign w:val="center"/>
            <w:hideMark/>
          </w:tcPr>
          <w:p w14:paraId="2B1D8E85"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58,639</w:t>
            </w:r>
          </w:p>
        </w:tc>
        <w:tc>
          <w:tcPr>
            <w:tcW w:w="578" w:type="pct"/>
            <w:vAlign w:val="center"/>
            <w:hideMark/>
          </w:tcPr>
          <w:p w14:paraId="27F15205"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11</w:t>
            </w:r>
          </w:p>
        </w:tc>
        <w:tc>
          <w:tcPr>
            <w:tcW w:w="579" w:type="pct"/>
            <w:vAlign w:val="center"/>
            <w:hideMark/>
          </w:tcPr>
          <w:p w14:paraId="6FE44B27"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Europe</w:t>
            </w:r>
          </w:p>
        </w:tc>
      </w:tr>
      <w:tr w:rsidR="00E4567F" w:rsidRPr="00E4567F" w14:paraId="39EE9E94" w14:textId="77777777" w:rsidTr="00E4567F">
        <w:trPr>
          <w:tblCellSpacing w:w="15" w:type="dxa"/>
        </w:trPr>
        <w:tc>
          <w:tcPr>
            <w:tcW w:w="936" w:type="pct"/>
            <w:vAlign w:val="center"/>
            <w:hideMark/>
          </w:tcPr>
          <w:p w14:paraId="1420919C" w14:textId="77777777" w:rsidR="00E4567F" w:rsidRPr="00E4567F" w:rsidRDefault="00FA1C1A" w:rsidP="00E4567F">
            <w:pPr>
              <w:rPr>
                <w:rFonts w:eastAsia="Times New Roman" w:cs="Arial"/>
                <w:sz w:val="16"/>
                <w:szCs w:val="16"/>
                <w:lang w:eastAsia="en-ZA"/>
              </w:rPr>
            </w:pPr>
            <w:hyperlink r:id="rId47" w:history="1">
              <w:r w:rsidR="00E4567F" w:rsidRPr="00E4567F">
                <w:rPr>
                  <w:rFonts w:eastAsia="Times New Roman" w:cs="Arial"/>
                  <w:color w:val="0000FF"/>
                  <w:sz w:val="16"/>
                  <w:szCs w:val="16"/>
                  <w:u w:val="single"/>
                  <w:lang w:eastAsia="en-ZA"/>
                </w:rPr>
                <w:t>Belgium</w:t>
              </w:r>
            </w:hyperlink>
          </w:p>
        </w:tc>
        <w:tc>
          <w:tcPr>
            <w:tcW w:w="411" w:type="pct"/>
            <w:vAlign w:val="center"/>
            <w:hideMark/>
          </w:tcPr>
          <w:p w14:paraId="407EDB73"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514.92</w:t>
            </w:r>
          </w:p>
        </w:tc>
        <w:tc>
          <w:tcPr>
            <w:tcW w:w="234" w:type="pct"/>
            <w:vAlign w:val="center"/>
            <w:hideMark/>
          </w:tcPr>
          <w:p w14:paraId="5DB59315"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25</w:t>
            </w:r>
          </w:p>
        </w:tc>
        <w:tc>
          <w:tcPr>
            <w:tcW w:w="411" w:type="pct"/>
            <w:vAlign w:val="center"/>
            <w:hideMark/>
          </w:tcPr>
          <w:p w14:paraId="19D87156"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581.85</w:t>
            </w:r>
          </w:p>
        </w:tc>
        <w:tc>
          <w:tcPr>
            <w:tcW w:w="234" w:type="pct"/>
            <w:vAlign w:val="center"/>
            <w:hideMark/>
          </w:tcPr>
          <w:p w14:paraId="1F80A884"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25</w:t>
            </w:r>
          </w:p>
        </w:tc>
        <w:tc>
          <w:tcPr>
            <w:tcW w:w="266" w:type="pct"/>
            <w:vAlign w:val="center"/>
            <w:hideMark/>
          </w:tcPr>
          <w:p w14:paraId="25CD933E"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0.613</w:t>
            </w:r>
          </w:p>
        </w:tc>
        <w:tc>
          <w:tcPr>
            <w:tcW w:w="291" w:type="pct"/>
            <w:vAlign w:val="center"/>
            <w:hideMark/>
          </w:tcPr>
          <w:p w14:paraId="5A966958"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40.5</w:t>
            </w:r>
          </w:p>
        </w:tc>
        <w:tc>
          <w:tcPr>
            <w:tcW w:w="334" w:type="pct"/>
            <w:vAlign w:val="center"/>
            <w:hideMark/>
          </w:tcPr>
          <w:p w14:paraId="57543B2B"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5.64</w:t>
            </w:r>
          </w:p>
        </w:tc>
        <w:tc>
          <w:tcPr>
            <w:tcW w:w="527" w:type="pct"/>
            <w:vAlign w:val="center"/>
            <w:hideMark/>
          </w:tcPr>
          <w:p w14:paraId="556ED788"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50,413</w:t>
            </w:r>
          </w:p>
        </w:tc>
        <w:tc>
          <w:tcPr>
            <w:tcW w:w="578" w:type="pct"/>
            <w:vAlign w:val="center"/>
            <w:hideMark/>
          </w:tcPr>
          <w:p w14:paraId="184F605D"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18</w:t>
            </w:r>
          </w:p>
        </w:tc>
        <w:tc>
          <w:tcPr>
            <w:tcW w:w="579" w:type="pct"/>
            <w:vAlign w:val="center"/>
            <w:hideMark/>
          </w:tcPr>
          <w:p w14:paraId="38308F1A"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Europe</w:t>
            </w:r>
          </w:p>
        </w:tc>
      </w:tr>
      <w:tr w:rsidR="00E4567F" w:rsidRPr="00E4567F" w14:paraId="424E607C" w14:textId="77777777" w:rsidTr="00E4567F">
        <w:trPr>
          <w:tblCellSpacing w:w="15" w:type="dxa"/>
        </w:trPr>
        <w:tc>
          <w:tcPr>
            <w:tcW w:w="936" w:type="pct"/>
            <w:vAlign w:val="center"/>
            <w:hideMark/>
          </w:tcPr>
          <w:p w14:paraId="12466E35" w14:textId="77777777" w:rsidR="00E4567F" w:rsidRPr="00E4567F" w:rsidRDefault="00FA1C1A" w:rsidP="00E4567F">
            <w:pPr>
              <w:rPr>
                <w:rFonts w:eastAsia="Times New Roman" w:cs="Arial"/>
                <w:sz w:val="16"/>
                <w:szCs w:val="16"/>
                <w:lang w:eastAsia="en-ZA"/>
              </w:rPr>
            </w:pPr>
            <w:hyperlink r:id="rId48" w:history="1">
              <w:r w:rsidR="00E4567F" w:rsidRPr="00E4567F">
                <w:rPr>
                  <w:rFonts w:eastAsia="Times New Roman" w:cs="Arial"/>
                  <w:color w:val="0000FF"/>
                  <w:sz w:val="16"/>
                  <w:szCs w:val="16"/>
                  <w:u w:val="single"/>
                  <w:lang w:eastAsia="en-ZA"/>
                </w:rPr>
                <w:t>Thailand</w:t>
              </w:r>
            </w:hyperlink>
          </w:p>
        </w:tc>
        <w:tc>
          <w:tcPr>
            <w:tcW w:w="411" w:type="pct"/>
            <w:vAlign w:val="center"/>
            <w:hideMark/>
          </w:tcPr>
          <w:p w14:paraId="32FEA3F2"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501.71</w:t>
            </w:r>
          </w:p>
        </w:tc>
        <w:tc>
          <w:tcPr>
            <w:tcW w:w="234" w:type="pct"/>
            <w:vAlign w:val="center"/>
            <w:hideMark/>
          </w:tcPr>
          <w:p w14:paraId="6DE459B2"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26</w:t>
            </w:r>
          </w:p>
        </w:tc>
        <w:tc>
          <w:tcPr>
            <w:tcW w:w="411" w:type="pct"/>
            <w:vAlign w:val="center"/>
            <w:hideMark/>
          </w:tcPr>
          <w:p w14:paraId="6C51F93F"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546.22</w:t>
            </w:r>
          </w:p>
        </w:tc>
        <w:tc>
          <w:tcPr>
            <w:tcW w:w="234" w:type="pct"/>
            <w:vAlign w:val="center"/>
            <w:hideMark/>
          </w:tcPr>
          <w:p w14:paraId="1FD3E232"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26</w:t>
            </w:r>
          </w:p>
        </w:tc>
        <w:tc>
          <w:tcPr>
            <w:tcW w:w="266" w:type="pct"/>
            <w:vAlign w:val="center"/>
            <w:hideMark/>
          </w:tcPr>
          <w:p w14:paraId="1E9958D4"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0.575</w:t>
            </w:r>
          </w:p>
        </w:tc>
        <w:tc>
          <w:tcPr>
            <w:tcW w:w="291" w:type="pct"/>
            <w:vAlign w:val="center"/>
            <w:hideMark/>
          </w:tcPr>
          <w:p w14:paraId="7BF18D7C"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35.6</w:t>
            </w:r>
          </w:p>
        </w:tc>
        <w:tc>
          <w:tcPr>
            <w:tcW w:w="334" w:type="pct"/>
            <w:vAlign w:val="center"/>
            <w:hideMark/>
          </w:tcPr>
          <w:p w14:paraId="7CCDD165"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0.96</w:t>
            </w:r>
          </w:p>
        </w:tc>
        <w:tc>
          <w:tcPr>
            <w:tcW w:w="527" w:type="pct"/>
            <w:vAlign w:val="center"/>
            <w:hideMark/>
          </w:tcPr>
          <w:p w14:paraId="7EE6F990"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7,809</w:t>
            </w:r>
          </w:p>
        </w:tc>
        <w:tc>
          <w:tcPr>
            <w:tcW w:w="578" w:type="pct"/>
            <w:vAlign w:val="center"/>
            <w:hideMark/>
          </w:tcPr>
          <w:p w14:paraId="7E00FC79"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85</w:t>
            </w:r>
          </w:p>
        </w:tc>
        <w:tc>
          <w:tcPr>
            <w:tcW w:w="579" w:type="pct"/>
            <w:vAlign w:val="center"/>
            <w:hideMark/>
          </w:tcPr>
          <w:p w14:paraId="06E2B535"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Asia</w:t>
            </w:r>
          </w:p>
        </w:tc>
      </w:tr>
      <w:tr w:rsidR="00E4567F" w:rsidRPr="00E4567F" w14:paraId="5E86E3E6" w14:textId="77777777" w:rsidTr="00E4567F">
        <w:trPr>
          <w:tblCellSpacing w:w="15" w:type="dxa"/>
        </w:trPr>
        <w:tc>
          <w:tcPr>
            <w:tcW w:w="936" w:type="pct"/>
            <w:vAlign w:val="center"/>
            <w:hideMark/>
          </w:tcPr>
          <w:p w14:paraId="53D851A8" w14:textId="77777777" w:rsidR="00E4567F" w:rsidRPr="00E4567F" w:rsidRDefault="00FA1C1A" w:rsidP="00E4567F">
            <w:pPr>
              <w:rPr>
                <w:rFonts w:eastAsia="Times New Roman" w:cs="Arial"/>
                <w:sz w:val="16"/>
                <w:szCs w:val="16"/>
                <w:lang w:eastAsia="en-ZA"/>
              </w:rPr>
            </w:pPr>
            <w:hyperlink r:id="rId49" w:history="1">
              <w:r w:rsidR="00E4567F" w:rsidRPr="00E4567F">
                <w:rPr>
                  <w:rFonts w:eastAsia="Times New Roman" w:cs="Arial"/>
                  <w:color w:val="0000FF"/>
                  <w:sz w:val="16"/>
                  <w:szCs w:val="16"/>
                  <w:u w:val="single"/>
                  <w:lang w:eastAsia="en-ZA"/>
                </w:rPr>
                <w:t>Ireland</w:t>
              </w:r>
            </w:hyperlink>
          </w:p>
        </w:tc>
        <w:tc>
          <w:tcPr>
            <w:tcW w:w="411" w:type="pct"/>
            <w:vAlign w:val="center"/>
            <w:hideMark/>
          </w:tcPr>
          <w:p w14:paraId="2CC1875A"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425.55</w:t>
            </w:r>
          </w:p>
        </w:tc>
        <w:tc>
          <w:tcPr>
            <w:tcW w:w="234" w:type="pct"/>
            <w:vAlign w:val="center"/>
            <w:hideMark/>
          </w:tcPr>
          <w:p w14:paraId="17726210"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29</w:t>
            </w:r>
          </w:p>
        </w:tc>
        <w:tc>
          <w:tcPr>
            <w:tcW w:w="411" w:type="pct"/>
            <w:vAlign w:val="center"/>
            <w:hideMark/>
          </w:tcPr>
          <w:p w14:paraId="1A28B58A"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516.25</w:t>
            </w:r>
          </w:p>
        </w:tc>
        <w:tc>
          <w:tcPr>
            <w:tcW w:w="234" w:type="pct"/>
            <w:vAlign w:val="center"/>
            <w:hideMark/>
          </w:tcPr>
          <w:p w14:paraId="26C92BAD"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27</w:t>
            </w:r>
          </w:p>
        </w:tc>
        <w:tc>
          <w:tcPr>
            <w:tcW w:w="266" w:type="pct"/>
            <w:vAlign w:val="center"/>
            <w:hideMark/>
          </w:tcPr>
          <w:p w14:paraId="0E9D5CB3"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0.544</w:t>
            </w:r>
          </w:p>
        </w:tc>
        <w:tc>
          <w:tcPr>
            <w:tcW w:w="291" w:type="pct"/>
            <w:vAlign w:val="center"/>
            <w:hideMark/>
          </w:tcPr>
          <w:p w14:paraId="45F9F221"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30.0</w:t>
            </w:r>
          </w:p>
        </w:tc>
        <w:tc>
          <w:tcPr>
            <w:tcW w:w="334" w:type="pct"/>
            <w:vAlign w:val="center"/>
            <w:hideMark/>
          </w:tcPr>
          <w:p w14:paraId="20CAB12F"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13.04</w:t>
            </w:r>
          </w:p>
        </w:tc>
        <w:tc>
          <w:tcPr>
            <w:tcW w:w="527" w:type="pct"/>
            <w:vAlign w:val="center"/>
            <w:hideMark/>
          </w:tcPr>
          <w:p w14:paraId="1AFC1FB5"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102,394</w:t>
            </w:r>
          </w:p>
        </w:tc>
        <w:tc>
          <w:tcPr>
            <w:tcW w:w="578" w:type="pct"/>
            <w:vAlign w:val="center"/>
            <w:hideMark/>
          </w:tcPr>
          <w:p w14:paraId="55592F1B"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2</w:t>
            </w:r>
          </w:p>
        </w:tc>
        <w:tc>
          <w:tcPr>
            <w:tcW w:w="579" w:type="pct"/>
            <w:vAlign w:val="center"/>
            <w:hideMark/>
          </w:tcPr>
          <w:p w14:paraId="5970FC2B"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Europe</w:t>
            </w:r>
          </w:p>
        </w:tc>
      </w:tr>
      <w:tr w:rsidR="00E4567F" w:rsidRPr="00E4567F" w14:paraId="5FFD967A" w14:textId="77777777" w:rsidTr="00E4567F">
        <w:trPr>
          <w:tblCellSpacing w:w="15" w:type="dxa"/>
        </w:trPr>
        <w:tc>
          <w:tcPr>
            <w:tcW w:w="936" w:type="pct"/>
            <w:vAlign w:val="center"/>
            <w:hideMark/>
          </w:tcPr>
          <w:p w14:paraId="77E1C611" w14:textId="77777777" w:rsidR="00E4567F" w:rsidRPr="00E4567F" w:rsidRDefault="00FA1C1A" w:rsidP="00E4567F">
            <w:pPr>
              <w:rPr>
                <w:rFonts w:eastAsia="Times New Roman" w:cs="Arial"/>
                <w:sz w:val="16"/>
                <w:szCs w:val="16"/>
                <w:lang w:eastAsia="en-ZA"/>
              </w:rPr>
            </w:pPr>
            <w:hyperlink r:id="rId50" w:history="1">
              <w:r w:rsidR="00E4567F" w:rsidRPr="00E4567F">
                <w:rPr>
                  <w:rFonts w:eastAsia="Times New Roman" w:cs="Arial"/>
                  <w:color w:val="0000FF"/>
                  <w:sz w:val="16"/>
                  <w:szCs w:val="16"/>
                  <w:u w:val="single"/>
                  <w:lang w:eastAsia="en-ZA"/>
                </w:rPr>
                <w:t>Austria</w:t>
              </w:r>
            </w:hyperlink>
          </w:p>
        </w:tc>
        <w:tc>
          <w:tcPr>
            <w:tcW w:w="411" w:type="pct"/>
            <w:vAlign w:val="center"/>
            <w:hideMark/>
          </w:tcPr>
          <w:p w14:paraId="2B788060"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432.52</w:t>
            </w:r>
          </w:p>
        </w:tc>
        <w:tc>
          <w:tcPr>
            <w:tcW w:w="234" w:type="pct"/>
            <w:vAlign w:val="center"/>
            <w:hideMark/>
          </w:tcPr>
          <w:p w14:paraId="48E1A2A4"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27</w:t>
            </w:r>
          </w:p>
        </w:tc>
        <w:tc>
          <w:tcPr>
            <w:tcW w:w="411" w:type="pct"/>
            <w:vAlign w:val="center"/>
            <w:hideMark/>
          </w:tcPr>
          <w:p w14:paraId="13293729"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481.21</w:t>
            </w:r>
          </w:p>
        </w:tc>
        <w:tc>
          <w:tcPr>
            <w:tcW w:w="234" w:type="pct"/>
            <w:vAlign w:val="center"/>
            <w:hideMark/>
          </w:tcPr>
          <w:p w14:paraId="2F35E19C"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28</w:t>
            </w:r>
          </w:p>
        </w:tc>
        <w:tc>
          <w:tcPr>
            <w:tcW w:w="266" w:type="pct"/>
            <w:vAlign w:val="center"/>
            <w:hideMark/>
          </w:tcPr>
          <w:p w14:paraId="411CDC9D"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0.507</w:t>
            </w:r>
          </w:p>
        </w:tc>
        <w:tc>
          <w:tcPr>
            <w:tcW w:w="291" w:type="pct"/>
            <w:vAlign w:val="center"/>
            <w:hideMark/>
          </w:tcPr>
          <w:p w14:paraId="0B483CB1"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35.0</w:t>
            </w:r>
          </w:p>
        </w:tc>
        <w:tc>
          <w:tcPr>
            <w:tcW w:w="334" w:type="pct"/>
            <w:vAlign w:val="center"/>
            <w:hideMark/>
          </w:tcPr>
          <w:p w14:paraId="6D4D1AFB"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3.92</w:t>
            </w:r>
          </w:p>
        </w:tc>
        <w:tc>
          <w:tcPr>
            <w:tcW w:w="527" w:type="pct"/>
            <w:vAlign w:val="center"/>
            <w:hideMark/>
          </w:tcPr>
          <w:p w14:paraId="4210F05E"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53,793</w:t>
            </w:r>
          </w:p>
        </w:tc>
        <w:tc>
          <w:tcPr>
            <w:tcW w:w="578" w:type="pct"/>
            <w:vAlign w:val="center"/>
            <w:hideMark/>
          </w:tcPr>
          <w:p w14:paraId="1EE21041"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13</w:t>
            </w:r>
          </w:p>
        </w:tc>
        <w:tc>
          <w:tcPr>
            <w:tcW w:w="579" w:type="pct"/>
            <w:vAlign w:val="center"/>
            <w:hideMark/>
          </w:tcPr>
          <w:p w14:paraId="619659BD"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Europe</w:t>
            </w:r>
          </w:p>
        </w:tc>
      </w:tr>
      <w:tr w:rsidR="00E4567F" w:rsidRPr="00E4567F" w14:paraId="353C382A" w14:textId="77777777" w:rsidTr="00E4567F">
        <w:trPr>
          <w:tblCellSpacing w:w="15" w:type="dxa"/>
        </w:trPr>
        <w:tc>
          <w:tcPr>
            <w:tcW w:w="936" w:type="pct"/>
            <w:vAlign w:val="center"/>
            <w:hideMark/>
          </w:tcPr>
          <w:p w14:paraId="1E82B8F7" w14:textId="77777777" w:rsidR="00E4567F" w:rsidRPr="00E4567F" w:rsidRDefault="00FA1C1A" w:rsidP="00E4567F">
            <w:pPr>
              <w:rPr>
                <w:rFonts w:eastAsia="Times New Roman" w:cs="Arial"/>
                <w:sz w:val="16"/>
                <w:szCs w:val="16"/>
                <w:lang w:eastAsia="en-ZA"/>
              </w:rPr>
            </w:pPr>
            <w:hyperlink r:id="rId51" w:history="1">
              <w:r w:rsidR="00E4567F" w:rsidRPr="00E4567F">
                <w:rPr>
                  <w:rFonts w:eastAsia="Times New Roman" w:cs="Arial"/>
                  <w:color w:val="0000FF"/>
                  <w:sz w:val="16"/>
                  <w:szCs w:val="16"/>
                  <w:u w:val="single"/>
                  <w:lang w:eastAsia="en-ZA"/>
                </w:rPr>
                <w:t>Nigeria</w:t>
              </w:r>
            </w:hyperlink>
          </w:p>
        </w:tc>
        <w:tc>
          <w:tcPr>
            <w:tcW w:w="411" w:type="pct"/>
            <w:vAlign w:val="center"/>
            <w:hideMark/>
          </w:tcPr>
          <w:p w14:paraId="17FE8BC3"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429.42</w:t>
            </w:r>
          </w:p>
        </w:tc>
        <w:tc>
          <w:tcPr>
            <w:tcW w:w="234" w:type="pct"/>
            <w:vAlign w:val="center"/>
            <w:hideMark/>
          </w:tcPr>
          <w:p w14:paraId="1B447BE1"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28</w:t>
            </w:r>
          </w:p>
        </w:tc>
        <w:tc>
          <w:tcPr>
            <w:tcW w:w="411" w:type="pct"/>
            <w:vAlign w:val="center"/>
            <w:hideMark/>
          </w:tcPr>
          <w:p w14:paraId="2D511785"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480.48</w:t>
            </w:r>
          </w:p>
        </w:tc>
        <w:tc>
          <w:tcPr>
            <w:tcW w:w="234" w:type="pct"/>
            <w:vAlign w:val="center"/>
            <w:hideMark/>
          </w:tcPr>
          <w:p w14:paraId="1B000650"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29</w:t>
            </w:r>
          </w:p>
        </w:tc>
        <w:tc>
          <w:tcPr>
            <w:tcW w:w="266" w:type="pct"/>
            <w:vAlign w:val="center"/>
            <w:hideMark/>
          </w:tcPr>
          <w:p w14:paraId="6AFED8FE"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0.506</w:t>
            </w:r>
          </w:p>
        </w:tc>
        <w:tc>
          <w:tcPr>
            <w:tcW w:w="291" w:type="pct"/>
            <w:vAlign w:val="center"/>
            <w:hideMark/>
          </w:tcPr>
          <w:p w14:paraId="4DD76F60"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0.73</w:t>
            </w:r>
          </w:p>
        </w:tc>
        <w:tc>
          <w:tcPr>
            <w:tcW w:w="334" w:type="pct"/>
            <w:vAlign w:val="center"/>
            <w:hideMark/>
          </w:tcPr>
          <w:p w14:paraId="5CD88D51"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2.64</w:t>
            </w:r>
          </w:p>
        </w:tc>
        <w:tc>
          <w:tcPr>
            <w:tcW w:w="527" w:type="pct"/>
            <w:vAlign w:val="center"/>
            <w:hideMark/>
          </w:tcPr>
          <w:p w14:paraId="7AB2354A"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2,273</w:t>
            </w:r>
          </w:p>
        </w:tc>
        <w:tc>
          <w:tcPr>
            <w:tcW w:w="578" w:type="pct"/>
            <w:vAlign w:val="center"/>
            <w:hideMark/>
          </w:tcPr>
          <w:p w14:paraId="21B3420F"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145</w:t>
            </w:r>
          </w:p>
        </w:tc>
        <w:tc>
          <w:tcPr>
            <w:tcW w:w="579" w:type="pct"/>
            <w:vAlign w:val="center"/>
            <w:hideMark/>
          </w:tcPr>
          <w:p w14:paraId="74F9FBC2"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Africa</w:t>
            </w:r>
          </w:p>
        </w:tc>
      </w:tr>
      <w:tr w:rsidR="00E4567F" w:rsidRPr="00E4567F" w14:paraId="32793505" w14:textId="77777777" w:rsidTr="00E4567F">
        <w:trPr>
          <w:tblCellSpacing w:w="15" w:type="dxa"/>
        </w:trPr>
        <w:tc>
          <w:tcPr>
            <w:tcW w:w="936" w:type="pct"/>
            <w:vAlign w:val="center"/>
            <w:hideMark/>
          </w:tcPr>
          <w:p w14:paraId="6243724E" w14:textId="77777777" w:rsidR="00E4567F" w:rsidRPr="00E4567F" w:rsidRDefault="00FA1C1A" w:rsidP="00E4567F">
            <w:pPr>
              <w:rPr>
                <w:rFonts w:eastAsia="Times New Roman" w:cs="Arial"/>
                <w:sz w:val="16"/>
                <w:szCs w:val="16"/>
                <w:lang w:eastAsia="en-ZA"/>
              </w:rPr>
            </w:pPr>
            <w:hyperlink r:id="rId52" w:history="1">
              <w:r w:rsidR="00E4567F" w:rsidRPr="00E4567F">
                <w:rPr>
                  <w:rFonts w:eastAsia="Times New Roman" w:cs="Arial"/>
                  <w:color w:val="0000FF"/>
                  <w:sz w:val="16"/>
                  <w:szCs w:val="16"/>
                  <w:u w:val="single"/>
                  <w:lang w:eastAsia="en-ZA"/>
                </w:rPr>
                <w:t>Israel</w:t>
              </w:r>
            </w:hyperlink>
          </w:p>
        </w:tc>
        <w:tc>
          <w:tcPr>
            <w:tcW w:w="411" w:type="pct"/>
            <w:vAlign w:val="center"/>
            <w:hideMark/>
          </w:tcPr>
          <w:p w14:paraId="50850C60"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407.10</w:t>
            </w:r>
          </w:p>
        </w:tc>
        <w:tc>
          <w:tcPr>
            <w:tcW w:w="234" w:type="pct"/>
            <w:vAlign w:val="center"/>
            <w:hideMark/>
          </w:tcPr>
          <w:p w14:paraId="1B38AA40"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30</w:t>
            </w:r>
          </w:p>
        </w:tc>
        <w:tc>
          <w:tcPr>
            <w:tcW w:w="411" w:type="pct"/>
            <w:vAlign w:val="center"/>
            <w:hideMark/>
          </w:tcPr>
          <w:p w14:paraId="67E817E3"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467.53</w:t>
            </w:r>
          </w:p>
        </w:tc>
        <w:tc>
          <w:tcPr>
            <w:tcW w:w="234" w:type="pct"/>
            <w:vAlign w:val="center"/>
            <w:hideMark/>
          </w:tcPr>
          <w:p w14:paraId="4DE959F9"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30</w:t>
            </w:r>
          </w:p>
        </w:tc>
        <w:tc>
          <w:tcPr>
            <w:tcW w:w="266" w:type="pct"/>
            <w:vAlign w:val="center"/>
            <w:hideMark/>
          </w:tcPr>
          <w:p w14:paraId="0C2D7EA0"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0.492</w:t>
            </w:r>
          </w:p>
        </w:tc>
        <w:tc>
          <w:tcPr>
            <w:tcW w:w="291" w:type="pct"/>
            <w:vAlign w:val="center"/>
            <w:hideMark/>
          </w:tcPr>
          <w:p w14:paraId="485F7972"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13.0</w:t>
            </w:r>
          </w:p>
        </w:tc>
        <w:tc>
          <w:tcPr>
            <w:tcW w:w="334" w:type="pct"/>
            <w:vAlign w:val="center"/>
            <w:hideMark/>
          </w:tcPr>
          <w:p w14:paraId="11C2E288"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7.06</w:t>
            </w:r>
          </w:p>
        </w:tc>
        <w:tc>
          <w:tcPr>
            <w:tcW w:w="527" w:type="pct"/>
            <w:vAlign w:val="center"/>
            <w:hideMark/>
          </w:tcPr>
          <w:p w14:paraId="7C794642"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49,840</w:t>
            </w:r>
          </w:p>
        </w:tc>
        <w:tc>
          <w:tcPr>
            <w:tcW w:w="578" w:type="pct"/>
            <w:vAlign w:val="center"/>
            <w:hideMark/>
          </w:tcPr>
          <w:p w14:paraId="53893D6C"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19</w:t>
            </w:r>
          </w:p>
        </w:tc>
        <w:tc>
          <w:tcPr>
            <w:tcW w:w="579" w:type="pct"/>
            <w:vAlign w:val="center"/>
            <w:hideMark/>
          </w:tcPr>
          <w:p w14:paraId="5306445B"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Asia</w:t>
            </w:r>
          </w:p>
        </w:tc>
      </w:tr>
      <w:tr w:rsidR="00E4567F" w:rsidRPr="00E4567F" w14:paraId="026EAF8B" w14:textId="77777777" w:rsidTr="00E4567F">
        <w:trPr>
          <w:tblCellSpacing w:w="15" w:type="dxa"/>
        </w:trPr>
        <w:tc>
          <w:tcPr>
            <w:tcW w:w="936" w:type="pct"/>
            <w:vAlign w:val="center"/>
            <w:hideMark/>
          </w:tcPr>
          <w:p w14:paraId="6EF3D21C" w14:textId="77777777" w:rsidR="00E4567F" w:rsidRPr="00E4567F" w:rsidRDefault="00FA1C1A" w:rsidP="00E4567F">
            <w:pPr>
              <w:rPr>
                <w:rFonts w:eastAsia="Times New Roman" w:cs="Arial"/>
                <w:sz w:val="16"/>
                <w:szCs w:val="16"/>
                <w:lang w:eastAsia="en-ZA"/>
              </w:rPr>
            </w:pPr>
            <w:hyperlink r:id="rId53" w:history="1">
              <w:r w:rsidR="00E4567F" w:rsidRPr="00E4567F">
                <w:rPr>
                  <w:rFonts w:eastAsia="Times New Roman" w:cs="Arial"/>
                  <w:color w:val="0000FF"/>
                  <w:sz w:val="16"/>
                  <w:szCs w:val="16"/>
                  <w:u w:val="single"/>
                  <w:lang w:eastAsia="en-ZA"/>
                </w:rPr>
                <w:t>Argentina</w:t>
              </w:r>
            </w:hyperlink>
          </w:p>
        </w:tc>
        <w:tc>
          <w:tcPr>
            <w:tcW w:w="411" w:type="pct"/>
            <w:vAlign w:val="center"/>
            <w:hideMark/>
          </w:tcPr>
          <w:p w14:paraId="1AD07F73"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389.06</w:t>
            </w:r>
          </w:p>
        </w:tc>
        <w:tc>
          <w:tcPr>
            <w:tcW w:w="234" w:type="pct"/>
            <w:vAlign w:val="center"/>
            <w:hideMark/>
          </w:tcPr>
          <w:p w14:paraId="4BB61B3E"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31</w:t>
            </w:r>
          </w:p>
        </w:tc>
        <w:tc>
          <w:tcPr>
            <w:tcW w:w="411" w:type="pct"/>
            <w:vAlign w:val="center"/>
            <w:hideMark/>
          </w:tcPr>
          <w:p w14:paraId="244009C5"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455.17</w:t>
            </w:r>
          </w:p>
        </w:tc>
        <w:tc>
          <w:tcPr>
            <w:tcW w:w="234" w:type="pct"/>
            <w:vAlign w:val="center"/>
            <w:hideMark/>
          </w:tcPr>
          <w:p w14:paraId="47C381CA"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31</w:t>
            </w:r>
          </w:p>
        </w:tc>
        <w:tc>
          <w:tcPr>
            <w:tcW w:w="266" w:type="pct"/>
            <w:vAlign w:val="center"/>
            <w:hideMark/>
          </w:tcPr>
          <w:p w14:paraId="3256F734"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0.479</w:t>
            </w:r>
          </w:p>
        </w:tc>
        <w:tc>
          <w:tcPr>
            <w:tcW w:w="291" w:type="pct"/>
            <w:vAlign w:val="center"/>
            <w:hideMark/>
          </w:tcPr>
          <w:p w14:paraId="4D56510B"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12.4</w:t>
            </w:r>
          </w:p>
        </w:tc>
        <w:tc>
          <w:tcPr>
            <w:tcW w:w="334" w:type="pct"/>
            <w:vAlign w:val="center"/>
            <w:hideMark/>
          </w:tcPr>
          <w:p w14:paraId="036FF3F5"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7.50</w:t>
            </w:r>
          </w:p>
        </w:tc>
        <w:tc>
          <w:tcPr>
            <w:tcW w:w="527" w:type="pct"/>
            <w:vAlign w:val="center"/>
            <w:hideMark/>
          </w:tcPr>
          <w:p w14:paraId="78EEB320"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9,929</w:t>
            </w:r>
          </w:p>
        </w:tc>
        <w:tc>
          <w:tcPr>
            <w:tcW w:w="578" w:type="pct"/>
            <w:vAlign w:val="center"/>
            <w:hideMark/>
          </w:tcPr>
          <w:p w14:paraId="785ACA82"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73</w:t>
            </w:r>
          </w:p>
        </w:tc>
        <w:tc>
          <w:tcPr>
            <w:tcW w:w="579" w:type="pct"/>
            <w:vAlign w:val="center"/>
            <w:hideMark/>
          </w:tcPr>
          <w:p w14:paraId="4E17CF0B"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South America</w:t>
            </w:r>
          </w:p>
        </w:tc>
      </w:tr>
      <w:tr w:rsidR="00E4567F" w:rsidRPr="00E4567F" w14:paraId="5CFAA01F" w14:textId="77777777" w:rsidTr="00E4567F">
        <w:trPr>
          <w:tblCellSpacing w:w="15" w:type="dxa"/>
        </w:trPr>
        <w:tc>
          <w:tcPr>
            <w:tcW w:w="936" w:type="pct"/>
            <w:vAlign w:val="center"/>
            <w:hideMark/>
          </w:tcPr>
          <w:p w14:paraId="6B51131A" w14:textId="77777777" w:rsidR="00E4567F" w:rsidRPr="00E4567F" w:rsidRDefault="00FA1C1A" w:rsidP="00E4567F">
            <w:pPr>
              <w:rPr>
                <w:rFonts w:eastAsia="Times New Roman" w:cs="Arial"/>
                <w:sz w:val="16"/>
                <w:szCs w:val="16"/>
                <w:lang w:eastAsia="en-ZA"/>
              </w:rPr>
            </w:pPr>
            <w:hyperlink r:id="rId54" w:history="1">
              <w:r w:rsidR="00E4567F" w:rsidRPr="00E4567F">
                <w:rPr>
                  <w:rFonts w:eastAsia="Times New Roman" w:cs="Arial"/>
                  <w:color w:val="0000FF"/>
                  <w:sz w:val="16"/>
                  <w:szCs w:val="16"/>
                  <w:u w:val="single"/>
                  <w:lang w:eastAsia="en-ZA"/>
                </w:rPr>
                <w:t>Norway</w:t>
              </w:r>
            </w:hyperlink>
          </w:p>
        </w:tc>
        <w:tc>
          <w:tcPr>
            <w:tcW w:w="411" w:type="pct"/>
            <w:vAlign w:val="center"/>
            <w:hideMark/>
          </w:tcPr>
          <w:p w14:paraId="2056C1B6"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362.52</w:t>
            </w:r>
          </w:p>
        </w:tc>
        <w:tc>
          <w:tcPr>
            <w:tcW w:w="234" w:type="pct"/>
            <w:vAlign w:val="center"/>
            <w:hideMark/>
          </w:tcPr>
          <w:p w14:paraId="3B5237DD"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33</w:t>
            </w:r>
          </w:p>
        </w:tc>
        <w:tc>
          <w:tcPr>
            <w:tcW w:w="411" w:type="pct"/>
            <w:vAlign w:val="center"/>
            <w:hideMark/>
          </w:tcPr>
          <w:p w14:paraId="5C35DD78"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445.51</w:t>
            </w:r>
          </w:p>
        </w:tc>
        <w:tc>
          <w:tcPr>
            <w:tcW w:w="234" w:type="pct"/>
            <w:vAlign w:val="center"/>
            <w:hideMark/>
          </w:tcPr>
          <w:p w14:paraId="197E29AD"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32</w:t>
            </w:r>
          </w:p>
        </w:tc>
        <w:tc>
          <w:tcPr>
            <w:tcW w:w="266" w:type="pct"/>
            <w:vAlign w:val="center"/>
            <w:hideMark/>
          </w:tcPr>
          <w:p w14:paraId="1811869A"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0.469</w:t>
            </w:r>
          </w:p>
        </w:tc>
        <w:tc>
          <w:tcPr>
            <w:tcW w:w="291" w:type="pct"/>
            <w:vAlign w:val="center"/>
            <w:hideMark/>
          </w:tcPr>
          <w:p w14:paraId="7365709F"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9.67</w:t>
            </w:r>
          </w:p>
        </w:tc>
        <w:tc>
          <w:tcPr>
            <w:tcW w:w="334" w:type="pct"/>
            <w:vAlign w:val="center"/>
            <w:hideMark/>
          </w:tcPr>
          <w:p w14:paraId="159E8A30"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3.03</w:t>
            </w:r>
          </w:p>
        </w:tc>
        <w:tc>
          <w:tcPr>
            <w:tcW w:w="527" w:type="pct"/>
            <w:vAlign w:val="center"/>
            <w:hideMark/>
          </w:tcPr>
          <w:p w14:paraId="7E2801D1"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82,244</w:t>
            </w:r>
          </w:p>
        </w:tc>
        <w:tc>
          <w:tcPr>
            <w:tcW w:w="578" w:type="pct"/>
            <w:vAlign w:val="center"/>
            <w:hideMark/>
          </w:tcPr>
          <w:p w14:paraId="5FDA9979"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4</w:t>
            </w:r>
          </w:p>
        </w:tc>
        <w:tc>
          <w:tcPr>
            <w:tcW w:w="579" w:type="pct"/>
            <w:vAlign w:val="center"/>
            <w:hideMark/>
          </w:tcPr>
          <w:p w14:paraId="603E9C2F"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Europe</w:t>
            </w:r>
          </w:p>
        </w:tc>
      </w:tr>
      <w:tr w:rsidR="00E4567F" w:rsidRPr="00E4567F" w14:paraId="3D6A9011" w14:textId="77777777" w:rsidTr="00E4567F">
        <w:trPr>
          <w:tblCellSpacing w:w="15" w:type="dxa"/>
        </w:trPr>
        <w:tc>
          <w:tcPr>
            <w:tcW w:w="936" w:type="pct"/>
            <w:vAlign w:val="center"/>
            <w:hideMark/>
          </w:tcPr>
          <w:p w14:paraId="15DDB86E" w14:textId="77777777" w:rsidR="00E4567F" w:rsidRPr="00E4567F" w:rsidRDefault="00FA1C1A" w:rsidP="00E4567F">
            <w:pPr>
              <w:rPr>
                <w:rFonts w:eastAsia="Times New Roman" w:cs="Arial"/>
                <w:sz w:val="16"/>
                <w:szCs w:val="16"/>
                <w:lang w:eastAsia="en-ZA"/>
              </w:rPr>
            </w:pPr>
            <w:hyperlink r:id="rId55" w:history="1">
              <w:r w:rsidR="00E4567F" w:rsidRPr="00E4567F">
                <w:rPr>
                  <w:rFonts w:eastAsia="Times New Roman" w:cs="Arial"/>
                  <w:color w:val="0000FF"/>
                  <w:sz w:val="16"/>
                  <w:szCs w:val="16"/>
                  <w:u w:val="single"/>
                  <w:lang w:eastAsia="en-ZA"/>
                </w:rPr>
                <w:t>South Africa</w:t>
              </w:r>
            </w:hyperlink>
          </w:p>
        </w:tc>
        <w:tc>
          <w:tcPr>
            <w:tcW w:w="411" w:type="pct"/>
            <w:vAlign w:val="center"/>
            <w:hideMark/>
          </w:tcPr>
          <w:p w14:paraId="75F90E67"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335.34</w:t>
            </w:r>
          </w:p>
        </w:tc>
        <w:tc>
          <w:tcPr>
            <w:tcW w:w="234" w:type="pct"/>
            <w:vAlign w:val="center"/>
            <w:hideMark/>
          </w:tcPr>
          <w:p w14:paraId="6EAA7954"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41</w:t>
            </w:r>
          </w:p>
        </w:tc>
        <w:tc>
          <w:tcPr>
            <w:tcW w:w="411" w:type="pct"/>
            <w:vAlign w:val="center"/>
            <w:hideMark/>
          </w:tcPr>
          <w:p w14:paraId="1CFD8BB8"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415.32</w:t>
            </w:r>
          </w:p>
        </w:tc>
        <w:tc>
          <w:tcPr>
            <w:tcW w:w="234" w:type="pct"/>
            <w:vAlign w:val="center"/>
            <w:hideMark/>
          </w:tcPr>
          <w:p w14:paraId="45E5E397"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33</w:t>
            </w:r>
          </w:p>
        </w:tc>
        <w:tc>
          <w:tcPr>
            <w:tcW w:w="266" w:type="pct"/>
            <w:vAlign w:val="center"/>
            <w:hideMark/>
          </w:tcPr>
          <w:p w14:paraId="1F58F837"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0.437</w:t>
            </w:r>
          </w:p>
        </w:tc>
        <w:tc>
          <w:tcPr>
            <w:tcW w:w="291" w:type="pct"/>
            <w:vAlign w:val="center"/>
            <w:hideMark/>
          </w:tcPr>
          <w:p w14:paraId="33372016"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30.2</w:t>
            </w:r>
          </w:p>
        </w:tc>
        <w:tc>
          <w:tcPr>
            <w:tcW w:w="334" w:type="pct"/>
            <w:vAlign w:val="center"/>
            <w:hideMark/>
          </w:tcPr>
          <w:p w14:paraId="64D6B81E"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5.00</w:t>
            </w:r>
          </w:p>
        </w:tc>
        <w:tc>
          <w:tcPr>
            <w:tcW w:w="527" w:type="pct"/>
            <w:vAlign w:val="center"/>
            <w:hideMark/>
          </w:tcPr>
          <w:p w14:paraId="1C6245B8"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6,861</w:t>
            </w:r>
          </w:p>
        </w:tc>
        <w:tc>
          <w:tcPr>
            <w:tcW w:w="578" w:type="pct"/>
            <w:vAlign w:val="center"/>
            <w:hideMark/>
          </w:tcPr>
          <w:p w14:paraId="01197020"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91</w:t>
            </w:r>
          </w:p>
        </w:tc>
        <w:tc>
          <w:tcPr>
            <w:tcW w:w="579" w:type="pct"/>
            <w:vAlign w:val="center"/>
            <w:hideMark/>
          </w:tcPr>
          <w:p w14:paraId="47EF2BA7"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Africa</w:t>
            </w:r>
          </w:p>
        </w:tc>
      </w:tr>
      <w:tr w:rsidR="00E4567F" w:rsidRPr="00E4567F" w14:paraId="3A1E77EC" w14:textId="77777777" w:rsidTr="00E4567F">
        <w:trPr>
          <w:tblCellSpacing w:w="15" w:type="dxa"/>
        </w:trPr>
        <w:tc>
          <w:tcPr>
            <w:tcW w:w="936" w:type="pct"/>
            <w:vAlign w:val="center"/>
            <w:hideMark/>
          </w:tcPr>
          <w:p w14:paraId="3C25BEC8" w14:textId="77777777" w:rsidR="00E4567F" w:rsidRPr="00E4567F" w:rsidRDefault="00FA1C1A" w:rsidP="00E4567F">
            <w:pPr>
              <w:rPr>
                <w:rFonts w:eastAsia="Times New Roman" w:cs="Arial"/>
                <w:sz w:val="16"/>
                <w:szCs w:val="16"/>
                <w:lang w:eastAsia="en-ZA"/>
              </w:rPr>
            </w:pPr>
            <w:hyperlink r:id="rId56" w:history="1">
              <w:r w:rsidR="00E4567F" w:rsidRPr="00E4567F">
                <w:rPr>
                  <w:rFonts w:eastAsia="Times New Roman" w:cs="Arial"/>
                  <w:color w:val="0000FF"/>
                  <w:sz w:val="16"/>
                  <w:szCs w:val="16"/>
                  <w:u w:val="single"/>
                  <w:lang w:eastAsia="en-ZA"/>
                </w:rPr>
                <w:t>United Arab Emirates</w:t>
              </w:r>
            </w:hyperlink>
          </w:p>
        </w:tc>
        <w:tc>
          <w:tcPr>
            <w:tcW w:w="411" w:type="pct"/>
            <w:vAlign w:val="center"/>
            <w:hideMark/>
          </w:tcPr>
          <w:p w14:paraId="0F14D9FF"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358.87</w:t>
            </w:r>
          </w:p>
        </w:tc>
        <w:tc>
          <w:tcPr>
            <w:tcW w:w="234" w:type="pct"/>
            <w:vAlign w:val="center"/>
            <w:hideMark/>
          </w:tcPr>
          <w:p w14:paraId="2DFBCF39"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35</w:t>
            </w:r>
          </w:p>
        </w:tc>
        <w:tc>
          <w:tcPr>
            <w:tcW w:w="411" w:type="pct"/>
            <w:vAlign w:val="center"/>
            <w:hideMark/>
          </w:tcPr>
          <w:p w14:paraId="30499167"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410.16</w:t>
            </w:r>
          </w:p>
        </w:tc>
        <w:tc>
          <w:tcPr>
            <w:tcW w:w="234" w:type="pct"/>
            <w:vAlign w:val="center"/>
            <w:hideMark/>
          </w:tcPr>
          <w:p w14:paraId="115BF224"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34</w:t>
            </w:r>
          </w:p>
        </w:tc>
        <w:tc>
          <w:tcPr>
            <w:tcW w:w="266" w:type="pct"/>
            <w:vAlign w:val="center"/>
            <w:hideMark/>
          </w:tcPr>
          <w:p w14:paraId="0F64FAC4"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0.432</w:t>
            </w:r>
          </w:p>
        </w:tc>
        <w:tc>
          <w:tcPr>
            <w:tcW w:w="291" w:type="pct"/>
            <w:vAlign w:val="center"/>
            <w:hideMark/>
          </w:tcPr>
          <w:p w14:paraId="2FF4E0B5"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5.16</w:t>
            </w:r>
          </w:p>
        </w:tc>
        <w:tc>
          <w:tcPr>
            <w:tcW w:w="334" w:type="pct"/>
            <w:vAlign w:val="center"/>
            <w:hideMark/>
          </w:tcPr>
          <w:p w14:paraId="605D5FBC"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2.24</w:t>
            </w:r>
          </w:p>
        </w:tc>
        <w:tc>
          <w:tcPr>
            <w:tcW w:w="527" w:type="pct"/>
            <w:vAlign w:val="center"/>
            <w:hideMark/>
          </w:tcPr>
          <w:p w14:paraId="792EA348"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43,538</w:t>
            </w:r>
          </w:p>
        </w:tc>
        <w:tc>
          <w:tcPr>
            <w:tcW w:w="578" w:type="pct"/>
            <w:vAlign w:val="center"/>
            <w:hideMark/>
          </w:tcPr>
          <w:p w14:paraId="0D3B0841"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24</w:t>
            </w:r>
          </w:p>
        </w:tc>
        <w:tc>
          <w:tcPr>
            <w:tcW w:w="579" w:type="pct"/>
            <w:vAlign w:val="center"/>
            <w:hideMark/>
          </w:tcPr>
          <w:p w14:paraId="2CB86C46"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Asia</w:t>
            </w:r>
          </w:p>
        </w:tc>
      </w:tr>
      <w:tr w:rsidR="00E4567F" w:rsidRPr="00E4567F" w14:paraId="616222A0" w14:textId="77777777" w:rsidTr="00E4567F">
        <w:trPr>
          <w:tblCellSpacing w:w="15" w:type="dxa"/>
        </w:trPr>
        <w:tc>
          <w:tcPr>
            <w:tcW w:w="936" w:type="pct"/>
            <w:vAlign w:val="center"/>
            <w:hideMark/>
          </w:tcPr>
          <w:p w14:paraId="3DEB5EF1" w14:textId="77777777" w:rsidR="00E4567F" w:rsidRPr="00E4567F" w:rsidRDefault="00FA1C1A" w:rsidP="00E4567F">
            <w:pPr>
              <w:rPr>
                <w:rFonts w:eastAsia="Times New Roman" w:cs="Arial"/>
                <w:sz w:val="16"/>
                <w:szCs w:val="16"/>
                <w:lang w:eastAsia="en-ZA"/>
              </w:rPr>
            </w:pPr>
            <w:hyperlink r:id="rId57" w:history="1">
              <w:r w:rsidR="00E4567F" w:rsidRPr="00E4567F">
                <w:rPr>
                  <w:rFonts w:eastAsia="Times New Roman" w:cs="Arial"/>
                  <w:color w:val="0000FF"/>
                  <w:sz w:val="16"/>
                  <w:szCs w:val="16"/>
                  <w:u w:val="single"/>
                  <w:lang w:eastAsia="en-ZA"/>
                </w:rPr>
                <w:t>Denmark</w:t>
              </w:r>
            </w:hyperlink>
          </w:p>
        </w:tc>
        <w:tc>
          <w:tcPr>
            <w:tcW w:w="411" w:type="pct"/>
            <w:vAlign w:val="center"/>
            <w:hideMark/>
          </w:tcPr>
          <w:p w14:paraId="09A624F6"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356.09</w:t>
            </w:r>
          </w:p>
        </w:tc>
        <w:tc>
          <w:tcPr>
            <w:tcW w:w="234" w:type="pct"/>
            <w:vAlign w:val="center"/>
            <w:hideMark/>
          </w:tcPr>
          <w:p w14:paraId="45E4A9F0"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36</w:t>
            </w:r>
          </w:p>
        </w:tc>
        <w:tc>
          <w:tcPr>
            <w:tcW w:w="411" w:type="pct"/>
            <w:vAlign w:val="center"/>
            <w:hideMark/>
          </w:tcPr>
          <w:p w14:paraId="70583B58"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396.67</w:t>
            </w:r>
          </w:p>
        </w:tc>
        <w:tc>
          <w:tcPr>
            <w:tcW w:w="234" w:type="pct"/>
            <w:vAlign w:val="center"/>
            <w:hideMark/>
          </w:tcPr>
          <w:p w14:paraId="03E99309"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35</w:t>
            </w:r>
          </w:p>
        </w:tc>
        <w:tc>
          <w:tcPr>
            <w:tcW w:w="266" w:type="pct"/>
            <w:vAlign w:val="center"/>
            <w:hideMark/>
          </w:tcPr>
          <w:p w14:paraId="32BA81AF"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0.418</w:t>
            </w:r>
          </w:p>
        </w:tc>
        <w:tc>
          <w:tcPr>
            <w:tcW w:w="291" w:type="pct"/>
            <w:vAlign w:val="center"/>
            <w:hideMark/>
          </w:tcPr>
          <w:p w14:paraId="380DE001"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13.5</w:t>
            </w:r>
          </w:p>
        </w:tc>
        <w:tc>
          <w:tcPr>
            <w:tcW w:w="334" w:type="pct"/>
            <w:vAlign w:val="center"/>
            <w:hideMark/>
          </w:tcPr>
          <w:p w14:paraId="07576081"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3.80</w:t>
            </w:r>
          </w:p>
        </w:tc>
        <w:tc>
          <w:tcPr>
            <w:tcW w:w="527" w:type="pct"/>
            <w:vAlign w:val="center"/>
            <w:hideMark/>
          </w:tcPr>
          <w:p w14:paraId="3E1DFC0C"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67,920</w:t>
            </w:r>
          </w:p>
        </w:tc>
        <w:tc>
          <w:tcPr>
            <w:tcW w:w="578" w:type="pct"/>
            <w:vAlign w:val="center"/>
            <w:hideMark/>
          </w:tcPr>
          <w:p w14:paraId="1F5B2144"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7</w:t>
            </w:r>
          </w:p>
        </w:tc>
        <w:tc>
          <w:tcPr>
            <w:tcW w:w="579" w:type="pct"/>
            <w:vAlign w:val="center"/>
            <w:hideMark/>
          </w:tcPr>
          <w:p w14:paraId="0617FD6E"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Europe</w:t>
            </w:r>
          </w:p>
        </w:tc>
      </w:tr>
      <w:tr w:rsidR="00E4567F" w:rsidRPr="00E4567F" w14:paraId="29A6AB78" w14:textId="77777777" w:rsidTr="00E4567F">
        <w:trPr>
          <w:tblCellSpacing w:w="15" w:type="dxa"/>
        </w:trPr>
        <w:tc>
          <w:tcPr>
            <w:tcW w:w="936" w:type="pct"/>
            <w:vAlign w:val="center"/>
            <w:hideMark/>
          </w:tcPr>
          <w:p w14:paraId="0CD740C6" w14:textId="77777777" w:rsidR="00E4567F" w:rsidRPr="00E4567F" w:rsidRDefault="00FA1C1A" w:rsidP="00E4567F">
            <w:pPr>
              <w:rPr>
                <w:rFonts w:eastAsia="Times New Roman" w:cs="Arial"/>
                <w:sz w:val="16"/>
                <w:szCs w:val="16"/>
                <w:lang w:eastAsia="en-ZA"/>
              </w:rPr>
            </w:pPr>
            <w:hyperlink r:id="rId58" w:history="1">
              <w:r w:rsidR="00E4567F" w:rsidRPr="00E4567F">
                <w:rPr>
                  <w:rFonts w:eastAsia="Times New Roman" w:cs="Arial"/>
                  <w:color w:val="0000FF"/>
                  <w:sz w:val="16"/>
                  <w:szCs w:val="16"/>
                  <w:u w:val="single"/>
                  <w:lang w:eastAsia="en-ZA"/>
                </w:rPr>
                <w:t>Egypt</w:t>
              </w:r>
            </w:hyperlink>
          </w:p>
        </w:tc>
        <w:tc>
          <w:tcPr>
            <w:tcW w:w="411" w:type="pct"/>
            <w:vAlign w:val="center"/>
            <w:hideMark/>
          </w:tcPr>
          <w:p w14:paraId="38DCADF1"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363.25</w:t>
            </w:r>
          </w:p>
        </w:tc>
        <w:tc>
          <w:tcPr>
            <w:tcW w:w="234" w:type="pct"/>
            <w:vAlign w:val="center"/>
            <w:hideMark/>
          </w:tcPr>
          <w:p w14:paraId="0509D15E"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32</w:t>
            </w:r>
          </w:p>
        </w:tc>
        <w:tc>
          <w:tcPr>
            <w:tcW w:w="411" w:type="pct"/>
            <w:vAlign w:val="center"/>
            <w:hideMark/>
          </w:tcPr>
          <w:p w14:paraId="64B1BC51"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396.33</w:t>
            </w:r>
          </w:p>
        </w:tc>
        <w:tc>
          <w:tcPr>
            <w:tcW w:w="234" w:type="pct"/>
            <w:vAlign w:val="center"/>
            <w:hideMark/>
          </w:tcPr>
          <w:p w14:paraId="11925FF9"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36</w:t>
            </w:r>
          </w:p>
        </w:tc>
        <w:tc>
          <w:tcPr>
            <w:tcW w:w="266" w:type="pct"/>
            <w:vAlign w:val="center"/>
            <w:hideMark/>
          </w:tcPr>
          <w:p w14:paraId="37788031"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0.417</w:t>
            </w:r>
          </w:p>
        </w:tc>
        <w:tc>
          <w:tcPr>
            <w:tcW w:w="291" w:type="pct"/>
            <w:vAlign w:val="center"/>
            <w:hideMark/>
          </w:tcPr>
          <w:p w14:paraId="24DA9C23"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0.34</w:t>
            </w:r>
          </w:p>
        </w:tc>
        <w:tc>
          <w:tcPr>
            <w:tcW w:w="334" w:type="pct"/>
            <w:vAlign w:val="center"/>
            <w:hideMark/>
          </w:tcPr>
          <w:p w14:paraId="71A4B75D"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3.33</w:t>
            </w:r>
          </w:p>
        </w:tc>
        <w:tc>
          <w:tcPr>
            <w:tcW w:w="527" w:type="pct"/>
            <w:vAlign w:val="center"/>
            <w:hideMark/>
          </w:tcPr>
          <w:p w14:paraId="571B6405"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3,852</w:t>
            </w:r>
          </w:p>
        </w:tc>
        <w:tc>
          <w:tcPr>
            <w:tcW w:w="578" w:type="pct"/>
            <w:vAlign w:val="center"/>
            <w:hideMark/>
          </w:tcPr>
          <w:p w14:paraId="50D8E9C2"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123</w:t>
            </w:r>
          </w:p>
        </w:tc>
        <w:tc>
          <w:tcPr>
            <w:tcW w:w="579" w:type="pct"/>
            <w:vAlign w:val="center"/>
            <w:hideMark/>
          </w:tcPr>
          <w:p w14:paraId="2C8C9E6E"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Africa</w:t>
            </w:r>
          </w:p>
        </w:tc>
      </w:tr>
      <w:tr w:rsidR="00E4567F" w:rsidRPr="00E4567F" w14:paraId="61A2CBDB" w14:textId="77777777" w:rsidTr="00E4567F">
        <w:trPr>
          <w:tblCellSpacing w:w="15" w:type="dxa"/>
        </w:trPr>
        <w:tc>
          <w:tcPr>
            <w:tcW w:w="936" w:type="pct"/>
            <w:vAlign w:val="center"/>
            <w:hideMark/>
          </w:tcPr>
          <w:p w14:paraId="7A0CD556" w14:textId="77777777" w:rsidR="00E4567F" w:rsidRPr="00E4567F" w:rsidRDefault="00FA1C1A" w:rsidP="00E4567F">
            <w:pPr>
              <w:rPr>
                <w:rFonts w:eastAsia="Times New Roman" w:cs="Arial"/>
                <w:sz w:val="16"/>
                <w:szCs w:val="16"/>
                <w:lang w:eastAsia="en-ZA"/>
              </w:rPr>
            </w:pPr>
            <w:hyperlink r:id="rId59" w:history="1">
              <w:r w:rsidR="00E4567F" w:rsidRPr="00E4567F">
                <w:rPr>
                  <w:rFonts w:eastAsia="Times New Roman" w:cs="Arial"/>
                  <w:color w:val="0000FF"/>
                  <w:sz w:val="16"/>
                  <w:szCs w:val="16"/>
                  <w:u w:val="single"/>
                  <w:lang w:eastAsia="en-ZA"/>
                </w:rPr>
                <w:t>Philippines</w:t>
              </w:r>
            </w:hyperlink>
          </w:p>
        </w:tc>
        <w:tc>
          <w:tcPr>
            <w:tcW w:w="411" w:type="pct"/>
            <w:vAlign w:val="center"/>
            <w:hideMark/>
          </w:tcPr>
          <w:p w14:paraId="59612DAA"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361.49</w:t>
            </w:r>
          </w:p>
        </w:tc>
        <w:tc>
          <w:tcPr>
            <w:tcW w:w="234" w:type="pct"/>
            <w:vAlign w:val="center"/>
            <w:hideMark/>
          </w:tcPr>
          <w:p w14:paraId="0021C27B"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34</w:t>
            </w:r>
          </w:p>
        </w:tc>
        <w:tc>
          <w:tcPr>
            <w:tcW w:w="411" w:type="pct"/>
            <w:vAlign w:val="center"/>
            <w:hideMark/>
          </w:tcPr>
          <w:p w14:paraId="2A2E957E"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385.74</w:t>
            </w:r>
          </w:p>
        </w:tc>
        <w:tc>
          <w:tcPr>
            <w:tcW w:w="234" w:type="pct"/>
            <w:vAlign w:val="center"/>
            <w:hideMark/>
          </w:tcPr>
          <w:p w14:paraId="5829CE14"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37</w:t>
            </w:r>
          </w:p>
        </w:tc>
        <w:tc>
          <w:tcPr>
            <w:tcW w:w="266" w:type="pct"/>
            <w:vAlign w:val="center"/>
            <w:hideMark/>
          </w:tcPr>
          <w:p w14:paraId="56D3AC2E"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0.406</w:t>
            </w:r>
          </w:p>
        </w:tc>
        <w:tc>
          <w:tcPr>
            <w:tcW w:w="291" w:type="pct"/>
            <w:vAlign w:val="center"/>
            <w:hideMark/>
          </w:tcPr>
          <w:p w14:paraId="11815587"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10.6</w:t>
            </w:r>
          </w:p>
        </w:tc>
        <w:tc>
          <w:tcPr>
            <w:tcW w:w="334" w:type="pct"/>
            <w:vAlign w:val="center"/>
            <w:hideMark/>
          </w:tcPr>
          <w:p w14:paraId="29BAD657"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3.22</w:t>
            </w:r>
          </w:p>
        </w:tc>
        <w:tc>
          <w:tcPr>
            <w:tcW w:w="527" w:type="pct"/>
            <w:vAlign w:val="center"/>
            <w:hideMark/>
          </w:tcPr>
          <w:p w14:paraId="7FBD8737"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3,492</w:t>
            </w:r>
          </w:p>
        </w:tc>
        <w:tc>
          <w:tcPr>
            <w:tcW w:w="578" w:type="pct"/>
            <w:vAlign w:val="center"/>
            <w:hideMark/>
          </w:tcPr>
          <w:p w14:paraId="24F9515A"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129</w:t>
            </w:r>
          </w:p>
        </w:tc>
        <w:tc>
          <w:tcPr>
            <w:tcW w:w="579" w:type="pct"/>
            <w:vAlign w:val="center"/>
            <w:hideMark/>
          </w:tcPr>
          <w:p w14:paraId="0BB2B3A7"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Asia</w:t>
            </w:r>
          </w:p>
        </w:tc>
      </w:tr>
      <w:tr w:rsidR="00E4567F" w:rsidRPr="00E4567F" w14:paraId="1250C46A" w14:textId="77777777" w:rsidTr="00E4567F">
        <w:trPr>
          <w:tblCellSpacing w:w="15" w:type="dxa"/>
        </w:trPr>
        <w:tc>
          <w:tcPr>
            <w:tcW w:w="936" w:type="pct"/>
            <w:vAlign w:val="center"/>
            <w:hideMark/>
          </w:tcPr>
          <w:p w14:paraId="3D73879F" w14:textId="77777777" w:rsidR="00E4567F" w:rsidRPr="00E4567F" w:rsidRDefault="00FA1C1A" w:rsidP="00E4567F">
            <w:pPr>
              <w:rPr>
                <w:rFonts w:eastAsia="Times New Roman" w:cs="Arial"/>
                <w:sz w:val="16"/>
                <w:szCs w:val="16"/>
                <w:lang w:eastAsia="en-ZA"/>
              </w:rPr>
            </w:pPr>
            <w:hyperlink r:id="rId60" w:history="1">
              <w:r w:rsidR="00E4567F" w:rsidRPr="00E4567F">
                <w:rPr>
                  <w:rFonts w:eastAsia="Times New Roman" w:cs="Arial"/>
                  <w:color w:val="0000FF"/>
                  <w:sz w:val="16"/>
                  <w:szCs w:val="16"/>
                  <w:u w:val="single"/>
                  <w:lang w:eastAsia="en-ZA"/>
                </w:rPr>
                <w:t>Singapore</w:t>
              </w:r>
            </w:hyperlink>
          </w:p>
        </w:tc>
        <w:tc>
          <w:tcPr>
            <w:tcW w:w="411" w:type="pct"/>
            <w:vAlign w:val="center"/>
            <w:hideMark/>
          </w:tcPr>
          <w:p w14:paraId="1426AA4B"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339.98</w:t>
            </w:r>
          </w:p>
        </w:tc>
        <w:tc>
          <w:tcPr>
            <w:tcW w:w="234" w:type="pct"/>
            <w:vAlign w:val="center"/>
            <w:hideMark/>
          </w:tcPr>
          <w:p w14:paraId="2A5FB652"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39</w:t>
            </w:r>
          </w:p>
        </w:tc>
        <w:tc>
          <w:tcPr>
            <w:tcW w:w="411" w:type="pct"/>
            <w:vAlign w:val="center"/>
            <w:hideMark/>
          </w:tcPr>
          <w:p w14:paraId="34E22EAC"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378.65</w:t>
            </w:r>
          </w:p>
        </w:tc>
        <w:tc>
          <w:tcPr>
            <w:tcW w:w="234" w:type="pct"/>
            <w:vAlign w:val="center"/>
            <w:hideMark/>
          </w:tcPr>
          <w:p w14:paraId="64254FE1"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38</w:t>
            </w:r>
          </w:p>
        </w:tc>
        <w:tc>
          <w:tcPr>
            <w:tcW w:w="266" w:type="pct"/>
            <w:vAlign w:val="center"/>
            <w:hideMark/>
          </w:tcPr>
          <w:p w14:paraId="06764AF3"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0.399</w:t>
            </w:r>
          </w:p>
        </w:tc>
        <w:tc>
          <w:tcPr>
            <w:tcW w:w="291" w:type="pct"/>
            <w:vAlign w:val="center"/>
            <w:hideMark/>
          </w:tcPr>
          <w:p w14:paraId="03260873"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7.09</w:t>
            </w:r>
          </w:p>
        </w:tc>
        <w:tc>
          <w:tcPr>
            <w:tcW w:w="334" w:type="pct"/>
            <w:vAlign w:val="center"/>
            <w:hideMark/>
          </w:tcPr>
          <w:p w14:paraId="651ED1C8"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6.03</w:t>
            </w:r>
          </w:p>
        </w:tc>
        <w:tc>
          <w:tcPr>
            <w:tcW w:w="527" w:type="pct"/>
            <w:vAlign w:val="center"/>
            <w:hideMark/>
          </w:tcPr>
          <w:p w14:paraId="6A62D3BA"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66,263</w:t>
            </w:r>
          </w:p>
        </w:tc>
        <w:tc>
          <w:tcPr>
            <w:tcW w:w="578" w:type="pct"/>
            <w:vAlign w:val="center"/>
            <w:hideMark/>
          </w:tcPr>
          <w:p w14:paraId="6C6170E4"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8</w:t>
            </w:r>
          </w:p>
        </w:tc>
        <w:tc>
          <w:tcPr>
            <w:tcW w:w="579" w:type="pct"/>
            <w:vAlign w:val="center"/>
            <w:hideMark/>
          </w:tcPr>
          <w:p w14:paraId="7134D15D"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Asia</w:t>
            </w:r>
          </w:p>
        </w:tc>
      </w:tr>
      <w:tr w:rsidR="00E4567F" w:rsidRPr="00E4567F" w14:paraId="711B2CD5" w14:textId="77777777" w:rsidTr="00E4567F">
        <w:trPr>
          <w:tblCellSpacing w:w="15" w:type="dxa"/>
        </w:trPr>
        <w:tc>
          <w:tcPr>
            <w:tcW w:w="936" w:type="pct"/>
            <w:vAlign w:val="center"/>
            <w:hideMark/>
          </w:tcPr>
          <w:p w14:paraId="3F8BD213" w14:textId="77777777" w:rsidR="00E4567F" w:rsidRPr="00E4567F" w:rsidRDefault="00FA1C1A" w:rsidP="00E4567F">
            <w:pPr>
              <w:rPr>
                <w:rFonts w:eastAsia="Times New Roman" w:cs="Arial"/>
                <w:sz w:val="16"/>
                <w:szCs w:val="16"/>
                <w:lang w:eastAsia="en-ZA"/>
              </w:rPr>
            </w:pPr>
            <w:hyperlink r:id="rId61" w:history="1">
              <w:r w:rsidR="00E4567F" w:rsidRPr="00E4567F">
                <w:rPr>
                  <w:rFonts w:eastAsia="Times New Roman" w:cs="Arial"/>
                  <w:color w:val="0000FF"/>
                  <w:sz w:val="16"/>
                  <w:szCs w:val="16"/>
                  <w:u w:val="single"/>
                  <w:lang w:eastAsia="en-ZA"/>
                </w:rPr>
                <w:t>Malaysia</w:t>
              </w:r>
            </w:hyperlink>
          </w:p>
        </w:tc>
        <w:tc>
          <w:tcPr>
            <w:tcW w:w="411" w:type="pct"/>
            <w:vAlign w:val="center"/>
            <w:hideMark/>
          </w:tcPr>
          <w:p w14:paraId="72070C40"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337.01</w:t>
            </w:r>
          </w:p>
        </w:tc>
        <w:tc>
          <w:tcPr>
            <w:tcW w:w="234" w:type="pct"/>
            <w:vAlign w:val="center"/>
            <w:hideMark/>
          </w:tcPr>
          <w:p w14:paraId="136DDBEE"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40</w:t>
            </w:r>
          </w:p>
        </w:tc>
        <w:tc>
          <w:tcPr>
            <w:tcW w:w="411" w:type="pct"/>
            <w:vAlign w:val="center"/>
            <w:hideMark/>
          </w:tcPr>
          <w:p w14:paraId="789AE37E"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371.11</w:t>
            </w:r>
          </w:p>
        </w:tc>
        <w:tc>
          <w:tcPr>
            <w:tcW w:w="234" w:type="pct"/>
            <w:vAlign w:val="center"/>
            <w:hideMark/>
          </w:tcPr>
          <w:p w14:paraId="69165527"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39</w:t>
            </w:r>
          </w:p>
        </w:tc>
        <w:tc>
          <w:tcPr>
            <w:tcW w:w="266" w:type="pct"/>
            <w:vAlign w:val="center"/>
            <w:hideMark/>
          </w:tcPr>
          <w:p w14:paraId="18CDA717"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0.391</w:t>
            </w:r>
          </w:p>
        </w:tc>
        <w:tc>
          <w:tcPr>
            <w:tcW w:w="291" w:type="pct"/>
            <w:vAlign w:val="center"/>
            <w:hideMark/>
          </w:tcPr>
          <w:p w14:paraId="248FE2BE"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7.53</w:t>
            </w:r>
          </w:p>
        </w:tc>
        <w:tc>
          <w:tcPr>
            <w:tcW w:w="334" w:type="pct"/>
            <w:vAlign w:val="center"/>
            <w:hideMark/>
          </w:tcPr>
          <w:p w14:paraId="3EFA4E24"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3.50</w:t>
            </w:r>
          </w:p>
        </w:tc>
        <w:tc>
          <w:tcPr>
            <w:tcW w:w="527" w:type="pct"/>
            <w:vAlign w:val="center"/>
            <w:hideMark/>
          </w:tcPr>
          <w:p w14:paraId="2394A0FC"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11,125</w:t>
            </w:r>
          </w:p>
        </w:tc>
        <w:tc>
          <w:tcPr>
            <w:tcW w:w="578" w:type="pct"/>
            <w:vAlign w:val="center"/>
            <w:hideMark/>
          </w:tcPr>
          <w:p w14:paraId="17F09839"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69</w:t>
            </w:r>
          </w:p>
        </w:tc>
        <w:tc>
          <w:tcPr>
            <w:tcW w:w="579" w:type="pct"/>
            <w:vAlign w:val="center"/>
            <w:hideMark/>
          </w:tcPr>
          <w:p w14:paraId="040C90C9"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Asia</w:t>
            </w:r>
          </w:p>
        </w:tc>
      </w:tr>
      <w:tr w:rsidR="00E4567F" w:rsidRPr="00E4567F" w14:paraId="614557F6" w14:textId="77777777" w:rsidTr="00E4567F">
        <w:trPr>
          <w:tblCellSpacing w:w="15" w:type="dxa"/>
        </w:trPr>
        <w:tc>
          <w:tcPr>
            <w:tcW w:w="936" w:type="pct"/>
            <w:vAlign w:val="center"/>
            <w:hideMark/>
          </w:tcPr>
          <w:p w14:paraId="3A93E1F6" w14:textId="77777777" w:rsidR="00E4567F" w:rsidRPr="00E4567F" w:rsidRDefault="00FA1C1A" w:rsidP="00E4567F">
            <w:pPr>
              <w:rPr>
                <w:rFonts w:eastAsia="Times New Roman" w:cs="Arial"/>
                <w:sz w:val="16"/>
                <w:szCs w:val="16"/>
                <w:lang w:eastAsia="en-ZA"/>
              </w:rPr>
            </w:pPr>
            <w:hyperlink r:id="rId62" w:history="1">
              <w:r w:rsidR="00E4567F" w:rsidRPr="00E4567F">
                <w:rPr>
                  <w:rFonts w:eastAsia="Times New Roman" w:cs="Arial"/>
                  <w:color w:val="0000FF"/>
                  <w:sz w:val="16"/>
                  <w:szCs w:val="16"/>
                  <w:u w:val="single"/>
                  <w:lang w:eastAsia="en-ZA"/>
                </w:rPr>
                <w:t>Hong Kong SAR</w:t>
              </w:r>
            </w:hyperlink>
          </w:p>
        </w:tc>
        <w:tc>
          <w:tcPr>
            <w:tcW w:w="411" w:type="pct"/>
            <w:vAlign w:val="center"/>
            <w:hideMark/>
          </w:tcPr>
          <w:p w14:paraId="56507A80"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346.58</w:t>
            </w:r>
          </w:p>
        </w:tc>
        <w:tc>
          <w:tcPr>
            <w:tcW w:w="234" w:type="pct"/>
            <w:vAlign w:val="center"/>
            <w:hideMark/>
          </w:tcPr>
          <w:p w14:paraId="68785C0F"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37</w:t>
            </w:r>
          </w:p>
        </w:tc>
        <w:tc>
          <w:tcPr>
            <w:tcW w:w="411" w:type="pct"/>
            <w:vAlign w:val="center"/>
            <w:hideMark/>
          </w:tcPr>
          <w:p w14:paraId="6C70AA4D"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369.72</w:t>
            </w:r>
          </w:p>
        </w:tc>
        <w:tc>
          <w:tcPr>
            <w:tcW w:w="234" w:type="pct"/>
            <w:vAlign w:val="center"/>
            <w:hideMark/>
          </w:tcPr>
          <w:p w14:paraId="394239AB"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40</w:t>
            </w:r>
          </w:p>
        </w:tc>
        <w:tc>
          <w:tcPr>
            <w:tcW w:w="266" w:type="pct"/>
            <w:vAlign w:val="center"/>
            <w:hideMark/>
          </w:tcPr>
          <w:p w14:paraId="3CAB2BF7"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0.389</w:t>
            </w:r>
          </w:p>
        </w:tc>
        <w:tc>
          <w:tcPr>
            <w:tcW w:w="291" w:type="pct"/>
            <w:vAlign w:val="center"/>
            <w:hideMark/>
          </w:tcPr>
          <w:p w14:paraId="0DC26A37"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1.39</w:t>
            </w:r>
          </w:p>
        </w:tc>
        <w:tc>
          <w:tcPr>
            <w:tcW w:w="334" w:type="pct"/>
            <w:vAlign w:val="center"/>
            <w:hideMark/>
          </w:tcPr>
          <w:p w14:paraId="76717E65"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6.44</w:t>
            </w:r>
          </w:p>
        </w:tc>
        <w:tc>
          <w:tcPr>
            <w:tcW w:w="527" w:type="pct"/>
            <w:vAlign w:val="center"/>
            <w:hideMark/>
          </w:tcPr>
          <w:p w14:paraId="7B0ACE4A"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49,485</w:t>
            </w:r>
          </w:p>
        </w:tc>
        <w:tc>
          <w:tcPr>
            <w:tcW w:w="578" w:type="pct"/>
            <w:vAlign w:val="center"/>
            <w:hideMark/>
          </w:tcPr>
          <w:p w14:paraId="6898F8C6"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20</w:t>
            </w:r>
          </w:p>
        </w:tc>
        <w:tc>
          <w:tcPr>
            <w:tcW w:w="579" w:type="pct"/>
            <w:vAlign w:val="center"/>
            <w:hideMark/>
          </w:tcPr>
          <w:p w14:paraId="4F8CA290"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Asia</w:t>
            </w:r>
          </w:p>
        </w:tc>
      </w:tr>
      <w:tr w:rsidR="00E4567F" w:rsidRPr="00E4567F" w14:paraId="4FB3EBB6" w14:textId="77777777" w:rsidTr="00E4567F">
        <w:trPr>
          <w:tblCellSpacing w:w="15" w:type="dxa"/>
        </w:trPr>
        <w:tc>
          <w:tcPr>
            <w:tcW w:w="936" w:type="pct"/>
            <w:vAlign w:val="center"/>
            <w:hideMark/>
          </w:tcPr>
          <w:p w14:paraId="3C4C568D" w14:textId="77777777" w:rsidR="00E4567F" w:rsidRPr="00E4567F" w:rsidRDefault="00FA1C1A" w:rsidP="00E4567F">
            <w:pPr>
              <w:rPr>
                <w:rFonts w:eastAsia="Times New Roman" w:cs="Arial"/>
                <w:sz w:val="16"/>
                <w:szCs w:val="16"/>
                <w:lang w:eastAsia="en-ZA"/>
              </w:rPr>
            </w:pPr>
            <w:hyperlink r:id="rId63" w:history="1">
              <w:r w:rsidR="00E4567F" w:rsidRPr="00E4567F">
                <w:rPr>
                  <w:rFonts w:eastAsia="Times New Roman" w:cs="Arial"/>
                  <w:color w:val="0000FF"/>
                  <w:sz w:val="16"/>
                  <w:szCs w:val="16"/>
                  <w:u w:val="single"/>
                  <w:lang w:eastAsia="en-ZA"/>
                </w:rPr>
                <w:t>Vietnam</w:t>
              </w:r>
            </w:hyperlink>
          </w:p>
        </w:tc>
        <w:tc>
          <w:tcPr>
            <w:tcW w:w="411" w:type="pct"/>
            <w:vAlign w:val="center"/>
            <w:hideMark/>
          </w:tcPr>
          <w:p w14:paraId="57A1456C"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343.11</w:t>
            </w:r>
          </w:p>
        </w:tc>
        <w:tc>
          <w:tcPr>
            <w:tcW w:w="234" w:type="pct"/>
            <w:vAlign w:val="center"/>
            <w:hideMark/>
          </w:tcPr>
          <w:p w14:paraId="60F13725"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38</w:t>
            </w:r>
          </w:p>
        </w:tc>
        <w:tc>
          <w:tcPr>
            <w:tcW w:w="411" w:type="pct"/>
            <w:vAlign w:val="center"/>
            <w:hideMark/>
          </w:tcPr>
          <w:p w14:paraId="20DD6A66"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368.00</w:t>
            </w:r>
          </w:p>
        </w:tc>
        <w:tc>
          <w:tcPr>
            <w:tcW w:w="234" w:type="pct"/>
            <w:vAlign w:val="center"/>
            <w:hideMark/>
          </w:tcPr>
          <w:p w14:paraId="69478A5E"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41</w:t>
            </w:r>
          </w:p>
        </w:tc>
        <w:tc>
          <w:tcPr>
            <w:tcW w:w="266" w:type="pct"/>
            <w:vAlign w:val="center"/>
            <w:hideMark/>
          </w:tcPr>
          <w:p w14:paraId="789424A4"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0.388</w:t>
            </w:r>
          </w:p>
        </w:tc>
        <w:tc>
          <w:tcPr>
            <w:tcW w:w="291" w:type="pct"/>
            <w:vAlign w:val="center"/>
            <w:hideMark/>
          </w:tcPr>
          <w:p w14:paraId="664EA861"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1.72</w:t>
            </w:r>
          </w:p>
        </w:tc>
        <w:tc>
          <w:tcPr>
            <w:tcW w:w="334" w:type="pct"/>
            <w:vAlign w:val="center"/>
            <w:hideMark/>
          </w:tcPr>
          <w:p w14:paraId="729E745E"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3.78</w:t>
            </w:r>
          </w:p>
        </w:tc>
        <w:tc>
          <w:tcPr>
            <w:tcW w:w="527" w:type="pct"/>
            <w:vAlign w:val="center"/>
            <w:hideMark/>
          </w:tcPr>
          <w:p w14:paraId="43E31FE7"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3,743</w:t>
            </w:r>
          </w:p>
        </w:tc>
        <w:tc>
          <w:tcPr>
            <w:tcW w:w="578" w:type="pct"/>
            <w:vAlign w:val="center"/>
            <w:hideMark/>
          </w:tcPr>
          <w:p w14:paraId="7B4BAE2A"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124</w:t>
            </w:r>
          </w:p>
        </w:tc>
        <w:tc>
          <w:tcPr>
            <w:tcW w:w="579" w:type="pct"/>
            <w:vAlign w:val="center"/>
            <w:hideMark/>
          </w:tcPr>
          <w:p w14:paraId="21658BE1"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Asia</w:t>
            </w:r>
          </w:p>
        </w:tc>
      </w:tr>
      <w:tr w:rsidR="00E4567F" w:rsidRPr="00E4567F" w14:paraId="783716F8" w14:textId="77777777" w:rsidTr="00E4567F">
        <w:trPr>
          <w:tblCellSpacing w:w="15" w:type="dxa"/>
        </w:trPr>
        <w:tc>
          <w:tcPr>
            <w:tcW w:w="936" w:type="pct"/>
            <w:vAlign w:val="center"/>
            <w:hideMark/>
          </w:tcPr>
          <w:p w14:paraId="44668F11" w14:textId="77777777" w:rsidR="00E4567F" w:rsidRPr="00E4567F" w:rsidRDefault="00FA1C1A" w:rsidP="00E4567F">
            <w:pPr>
              <w:rPr>
                <w:rFonts w:eastAsia="Times New Roman" w:cs="Arial"/>
                <w:sz w:val="16"/>
                <w:szCs w:val="16"/>
                <w:lang w:eastAsia="en-ZA"/>
              </w:rPr>
            </w:pPr>
            <w:hyperlink r:id="rId64" w:history="1">
              <w:r w:rsidR="00E4567F" w:rsidRPr="00E4567F">
                <w:rPr>
                  <w:rFonts w:eastAsia="Times New Roman" w:cs="Arial"/>
                  <w:color w:val="0000FF"/>
                  <w:sz w:val="16"/>
                  <w:szCs w:val="16"/>
                  <w:u w:val="single"/>
                  <w:lang w:eastAsia="en-ZA"/>
                </w:rPr>
                <w:t>Bangladesh</w:t>
              </w:r>
            </w:hyperlink>
          </w:p>
        </w:tc>
        <w:tc>
          <w:tcPr>
            <w:tcW w:w="411" w:type="pct"/>
            <w:vAlign w:val="center"/>
            <w:hideMark/>
          </w:tcPr>
          <w:p w14:paraId="2D8B52DF"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323.06</w:t>
            </w:r>
          </w:p>
        </w:tc>
        <w:tc>
          <w:tcPr>
            <w:tcW w:w="234" w:type="pct"/>
            <w:vAlign w:val="center"/>
            <w:hideMark/>
          </w:tcPr>
          <w:p w14:paraId="54F70ABB"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42</w:t>
            </w:r>
          </w:p>
        </w:tc>
        <w:tc>
          <w:tcPr>
            <w:tcW w:w="411" w:type="pct"/>
            <w:vAlign w:val="center"/>
            <w:hideMark/>
          </w:tcPr>
          <w:p w14:paraId="246379FB"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355.69</w:t>
            </w:r>
          </w:p>
        </w:tc>
        <w:tc>
          <w:tcPr>
            <w:tcW w:w="234" w:type="pct"/>
            <w:vAlign w:val="center"/>
            <w:hideMark/>
          </w:tcPr>
          <w:p w14:paraId="174B680E"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42</w:t>
            </w:r>
          </w:p>
        </w:tc>
        <w:tc>
          <w:tcPr>
            <w:tcW w:w="266" w:type="pct"/>
            <w:vAlign w:val="center"/>
            <w:hideMark/>
          </w:tcPr>
          <w:p w14:paraId="42E39AB5"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0.375</w:t>
            </w:r>
          </w:p>
        </w:tc>
        <w:tc>
          <w:tcPr>
            <w:tcW w:w="291" w:type="pct"/>
            <w:vAlign w:val="center"/>
            <w:hideMark/>
          </w:tcPr>
          <w:p w14:paraId="30B2DF62"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12.3</w:t>
            </w:r>
          </w:p>
        </w:tc>
        <w:tc>
          <w:tcPr>
            <w:tcW w:w="334" w:type="pct"/>
            <w:vAlign w:val="center"/>
            <w:hideMark/>
          </w:tcPr>
          <w:p w14:paraId="59306CF8"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4.60</w:t>
            </w:r>
          </w:p>
        </w:tc>
        <w:tc>
          <w:tcPr>
            <w:tcW w:w="527" w:type="pct"/>
            <w:vAlign w:val="center"/>
            <w:hideMark/>
          </w:tcPr>
          <w:p w14:paraId="31D1530A"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2,139</w:t>
            </w:r>
          </w:p>
        </w:tc>
        <w:tc>
          <w:tcPr>
            <w:tcW w:w="578" w:type="pct"/>
            <w:vAlign w:val="center"/>
            <w:hideMark/>
          </w:tcPr>
          <w:p w14:paraId="466B8485"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149</w:t>
            </w:r>
          </w:p>
        </w:tc>
        <w:tc>
          <w:tcPr>
            <w:tcW w:w="579" w:type="pct"/>
            <w:vAlign w:val="center"/>
            <w:hideMark/>
          </w:tcPr>
          <w:p w14:paraId="25C7ACA6"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Asia</w:t>
            </w:r>
          </w:p>
        </w:tc>
      </w:tr>
      <w:tr w:rsidR="00E4567F" w:rsidRPr="00E4567F" w14:paraId="3DBA27AE" w14:textId="77777777" w:rsidTr="00E4567F">
        <w:trPr>
          <w:tblCellSpacing w:w="15" w:type="dxa"/>
        </w:trPr>
        <w:tc>
          <w:tcPr>
            <w:tcW w:w="936" w:type="pct"/>
            <w:vAlign w:val="center"/>
            <w:hideMark/>
          </w:tcPr>
          <w:p w14:paraId="747930E9" w14:textId="77777777" w:rsidR="00E4567F" w:rsidRPr="00E4567F" w:rsidRDefault="00FA1C1A" w:rsidP="00E4567F">
            <w:pPr>
              <w:rPr>
                <w:rFonts w:eastAsia="Times New Roman" w:cs="Arial"/>
                <w:sz w:val="16"/>
                <w:szCs w:val="16"/>
                <w:lang w:eastAsia="en-ZA"/>
              </w:rPr>
            </w:pPr>
            <w:hyperlink r:id="rId65" w:history="1">
              <w:r w:rsidR="00E4567F" w:rsidRPr="00E4567F">
                <w:rPr>
                  <w:rFonts w:eastAsia="Times New Roman" w:cs="Arial"/>
                  <w:color w:val="0000FF"/>
                  <w:sz w:val="16"/>
                  <w:szCs w:val="16"/>
                  <w:u w:val="single"/>
                  <w:lang w:eastAsia="en-ZA"/>
                </w:rPr>
                <w:t>Chile</w:t>
              </w:r>
            </w:hyperlink>
          </w:p>
        </w:tc>
        <w:tc>
          <w:tcPr>
            <w:tcW w:w="411" w:type="pct"/>
            <w:vAlign w:val="center"/>
            <w:hideMark/>
          </w:tcPr>
          <w:p w14:paraId="68564E8E"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252.82</w:t>
            </w:r>
          </w:p>
        </w:tc>
        <w:tc>
          <w:tcPr>
            <w:tcW w:w="234" w:type="pct"/>
            <w:vAlign w:val="center"/>
            <w:hideMark/>
          </w:tcPr>
          <w:p w14:paraId="52109DCA"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46</w:t>
            </w:r>
          </w:p>
        </w:tc>
        <w:tc>
          <w:tcPr>
            <w:tcW w:w="411" w:type="pct"/>
            <w:vAlign w:val="center"/>
            <w:hideMark/>
          </w:tcPr>
          <w:p w14:paraId="6282200E"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331.25</w:t>
            </w:r>
          </w:p>
        </w:tc>
        <w:tc>
          <w:tcPr>
            <w:tcW w:w="234" w:type="pct"/>
            <w:vAlign w:val="center"/>
            <w:hideMark/>
          </w:tcPr>
          <w:p w14:paraId="3514927A"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43</w:t>
            </w:r>
          </w:p>
        </w:tc>
        <w:tc>
          <w:tcPr>
            <w:tcW w:w="266" w:type="pct"/>
            <w:vAlign w:val="center"/>
            <w:hideMark/>
          </w:tcPr>
          <w:p w14:paraId="7144208B"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0.349</w:t>
            </w:r>
          </w:p>
        </w:tc>
        <w:tc>
          <w:tcPr>
            <w:tcW w:w="291" w:type="pct"/>
            <w:vAlign w:val="center"/>
            <w:hideMark/>
          </w:tcPr>
          <w:p w14:paraId="5DA1669C"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24.4</w:t>
            </w:r>
          </w:p>
        </w:tc>
        <w:tc>
          <w:tcPr>
            <w:tcW w:w="334" w:type="pct"/>
            <w:vAlign w:val="center"/>
            <w:hideMark/>
          </w:tcPr>
          <w:p w14:paraId="13EA6117"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11.00</w:t>
            </w:r>
          </w:p>
        </w:tc>
        <w:tc>
          <w:tcPr>
            <w:tcW w:w="527" w:type="pct"/>
            <w:vAlign w:val="center"/>
            <w:hideMark/>
          </w:tcPr>
          <w:p w14:paraId="219B70D8"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16,799</w:t>
            </w:r>
          </w:p>
        </w:tc>
        <w:tc>
          <w:tcPr>
            <w:tcW w:w="578" w:type="pct"/>
            <w:vAlign w:val="center"/>
            <w:hideMark/>
          </w:tcPr>
          <w:p w14:paraId="6344DEDD"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54</w:t>
            </w:r>
          </w:p>
        </w:tc>
        <w:tc>
          <w:tcPr>
            <w:tcW w:w="579" w:type="pct"/>
            <w:vAlign w:val="center"/>
            <w:hideMark/>
          </w:tcPr>
          <w:p w14:paraId="6426C0AA"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South America</w:t>
            </w:r>
          </w:p>
        </w:tc>
      </w:tr>
      <w:tr w:rsidR="00E4567F" w:rsidRPr="00E4567F" w14:paraId="09A9DCCC" w14:textId="77777777" w:rsidTr="00E4567F">
        <w:trPr>
          <w:tblCellSpacing w:w="15" w:type="dxa"/>
        </w:trPr>
        <w:tc>
          <w:tcPr>
            <w:tcW w:w="936" w:type="pct"/>
            <w:vAlign w:val="center"/>
            <w:hideMark/>
          </w:tcPr>
          <w:p w14:paraId="29910399" w14:textId="77777777" w:rsidR="00E4567F" w:rsidRPr="00E4567F" w:rsidRDefault="00FA1C1A" w:rsidP="00E4567F">
            <w:pPr>
              <w:rPr>
                <w:rFonts w:eastAsia="Times New Roman" w:cs="Arial"/>
                <w:sz w:val="16"/>
                <w:szCs w:val="16"/>
                <w:lang w:eastAsia="en-ZA"/>
              </w:rPr>
            </w:pPr>
            <w:hyperlink r:id="rId66" w:history="1">
              <w:r w:rsidR="00E4567F" w:rsidRPr="00E4567F">
                <w:rPr>
                  <w:rFonts w:eastAsia="Times New Roman" w:cs="Arial"/>
                  <w:color w:val="0000FF"/>
                  <w:sz w:val="16"/>
                  <w:szCs w:val="16"/>
                  <w:u w:val="single"/>
                  <w:lang w:eastAsia="en-ZA"/>
                </w:rPr>
                <w:t>Colombia</w:t>
              </w:r>
            </w:hyperlink>
          </w:p>
        </w:tc>
        <w:tc>
          <w:tcPr>
            <w:tcW w:w="411" w:type="pct"/>
            <w:vAlign w:val="center"/>
            <w:hideMark/>
          </w:tcPr>
          <w:p w14:paraId="3B43BFB3"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271.55</w:t>
            </w:r>
          </w:p>
        </w:tc>
        <w:tc>
          <w:tcPr>
            <w:tcW w:w="234" w:type="pct"/>
            <w:vAlign w:val="center"/>
            <w:hideMark/>
          </w:tcPr>
          <w:p w14:paraId="311E1BEE"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43</w:t>
            </w:r>
          </w:p>
        </w:tc>
        <w:tc>
          <w:tcPr>
            <w:tcW w:w="411" w:type="pct"/>
            <w:vAlign w:val="center"/>
            <w:hideMark/>
          </w:tcPr>
          <w:p w14:paraId="6B22547F"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300.79</w:t>
            </w:r>
          </w:p>
        </w:tc>
        <w:tc>
          <w:tcPr>
            <w:tcW w:w="234" w:type="pct"/>
            <w:vAlign w:val="center"/>
            <w:hideMark/>
          </w:tcPr>
          <w:p w14:paraId="1F108094"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44</w:t>
            </w:r>
          </w:p>
        </w:tc>
        <w:tc>
          <w:tcPr>
            <w:tcW w:w="266" w:type="pct"/>
            <w:vAlign w:val="center"/>
            <w:hideMark/>
          </w:tcPr>
          <w:p w14:paraId="57216BBB"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0.317</w:t>
            </w:r>
          </w:p>
        </w:tc>
        <w:tc>
          <w:tcPr>
            <w:tcW w:w="291" w:type="pct"/>
            <w:vAlign w:val="center"/>
            <w:hideMark/>
          </w:tcPr>
          <w:p w14:paraId="382EC717"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30.5</w:t>
            </w:r>
          </w:p>
        </w:tc>
        <w:tc>
          <w:tcPr>
            <w:tcW w:w="334" w:type="pct"/>
            <w:vAlign w:val="center"/>
            <w:hideMark/>
          </w:tcPr>
          <w:p w14:paraId="7598953E"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7.61</w:t>
            </w:r>
          </w:p>
        </w:tc>
        <w:tc>
          <w:tcPr>
            <w:tcW w:w="527" w:type="pct"/>
            <w:vAlign w:val="center"/>
            <w:hideMark/>
          </w:tcPr>
          <w:p w14:paraId="79A26E32"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5,892</w:t>
            </w:r>
          </w:p>
        </w:tc>
        <w:tc>
          <w:tcPr>
            <w:tcW w:w="578" w:type="pct"/>
            <w:vAlign w:val="center"/>
            <w:hideMark/>
          </w:tcPr>
          <w:p w14:paraId="676A6BF9"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96</w:t>
            </w:r>
          </w:p>
        </w:tc>
        <w:tc>
          <w:tcPr>
            <w:tcW w:w="579" w:type="pct"/>
            <w:vAlign w:val="center"/>
            <w:hideMark/>
          </w:tcPr>
          <w:p w14:paraId="78BD1A60"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South America</w:t>
            </w:r>
          </w:p>
        </w:tc>
      </w:tr>
      <w:tr w:rsidR="00E4567F" w:rsidRPr="00E4567F" w14:paraId="6B9C1140" w14:textId="77777777" w:rsidTr="00E4567F">
        <w:trPr>
          <w:tblCellSpacing w:w="15" w:type="dxa"/>
        </w:trPr>
        <w:tc>
          <w:tcPr>
            <w:tcW w:w="936" w:type="pct"/>
            <w:vAlign w:val="center"/>
            <w:hideMark/>
          </w:tcPr>
          <w:p w14:paraId="548844C4" w14:textId="77777777" w:rsidR="00E4567F" w:rsidRPr="00E4567F" w:rsidRDefault="00FA1C1A" w:rsidP="00E4567F">
            <w:pPr>
              <w:rPr>
                <w:rFonts w:eastAsia="Times New Roman" w:cs="Arial"/>
                <w:sz w:val="16"/>
                <w:szCs w:val="16"/>
                <w:lang w:eastAsia="en-ZA"/>
              </w:rPr>
            </w:pPr>
            <w:hyperlink r:id="rId67" w:history="1">
              <w:r w:rsidR="00E4567F" w:rsidRPr="00E4567F">
                <w:rPr>
                  <w:rFonts w:eastAsia="Times New Roman" w:cs="Arial"/>
                  <w:color w:val="0000FF"/>
                  <w:sz w:val="16"/>
                  <w:szCs w:val="16"/>
                  <w:u w:val="single"/>
                  <w:lang w:eastAsia="en-ZA"/>
                </w:rPr>
                <w:t>Finland</w:t>
              </w:r>
            </w:hyperlink>
          </w:p>
        </w:tc>
        <w:tc>
          <w:tcPr>
            <w:tcW w:w="411" w:type="pct"/>
            <w:vAlign w:val="center"/>
            <w:hideMark/>
          </w:tcPr>
          <w:p w14:paraId="0AC2F80F"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269.56</w:t>
            </w:r>
          </w:p>
        </w:tc>
        <w:tc>
          <w:tcPr>
            <w:tcW w:w="234" w:type="pct"/>
            <w:vAlign w:val="center"/>
            <w:hideMark/>
          </w:tcPr>
          <w:p w14:paraId="74B31DA7"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44</w:t>
            </w:r>
          </w:p>
        </w:tc>
        <w:tc>
          <w:tcPr>
            <w:tcW w:w="411" w:type="pct"/>
            <w:vAlign w:val="center"/>
            <w:hideMark/>
          </w:tcPr>
          <w:p w14:paraId="16859771"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296.02</w:t>
            </w:r>
          </w:p>
        </w:tc>
        <w:tc>
          <w:tcPr>
            <w:tcW w:w="234" w:type="pct"/>
            <w:vAlign w:val="center"/>
            <w:hideMark/>
          </w:tcPr>
          <w:p w14:paraId="1E0F82A0"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45</w:t>
            </w:r>
          </w:p>
        </w:tc>
        <w:tc>
          <w:tcPr>
            <w:tcW w:w="266" w:type="pct"/>
            <w:vAlign w:val="center"/>
            <w:hideMark/>
          </w:tcPr>
          <w:p w14:paraId="5412ECEB"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0.312</w:t>
            </w:r>
          </w:p>
        </w:tc>
        <w:tc>
          <w:tcPr>
            <w:tcW w:w="291" w:type="pct"/>
            <w:vAlign w:val="center"/>
            <w:hideMark/>
          </w:tcPr>
          <w:p w14:paraId="7517E76F"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4.77</w:t>
            </w:r>
          </w:p>
        </w:tc>
        <w:tc>
          <w:tcPr>
            <w:tcW w:w="334" w:type="pct"/>
            <w:vAlign w:val="center"/>
            <w:hideMark/>
          </w:tcPr>
          <w:p w14:paraId="31167507"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2.97</w:t>
            </w:r>
          </w:p>
        </w:tc>
        <w:tc>
          <w:tcPr>
            <w:tcW w:w="527" w:type="pct"/>
            <w:vAlign w:val="center"/>
            <w:hideMark/>
          </w:tcPr>
          <w:p w14:paraId="45945001"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53,523</w:t>
            </w:r>
          </w:p>
        </w:tc>
        <w:tc>
          <w:tcPr>
            <w:tcW w:w="578" w:type="pct"/>
            <w:vAlign w:val="center"/>
            <w:hideMark/>
          </w:tcPr>
          <w:p w14:paraId="65CE149F"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14</w:t>
            </w:r>
          </w:p>
        </w:tc>
        <w:tc>
          <w:tcPr>
            <w:tcW w:w="579" w:type="pct"/>
            <w:vAlign w:val="center"/>
            <w:hideMark/>
          </w:tcPr>
          <w:p w14:paraId="2DFA04EF"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Europe</w:t>
            </w:r>
          </w:p>
        </w:tc>
      </w:tr>
      <w:tr w:rsidR="00E4567F" w:rsidRPr="00E4567F" w14:paraId="6E0EC319" w14:textId="77777777" w:rsidTr="00E4567F">
        <w:trPr>
          <w:tblCellSpacing w:w="15" w:type="dxa"/>
        </w:trPr>
        <w:tc>
          <w:tcPr>
            <w:tcW w:w="936" w:type="pct"/>
            <w:vAlign w:val="center"/>
            <w:hideMark/>
          </w:tcPr>
          <w:p w14:paraId="5D4EA894" w14:textId="77777777" w:rsidR="00E4567F" w:rsidRPr="00E4567F" w:rsidRDefault="00FA1C1A" w:rsidP="00E4567F">
            <w:pPr>
              <w:rPr>
                <w:rFonts w:eastAsia="Times New Roman" w:cs="Arial"/>
                <w:sz w:val="16"/>
                <w:szCs w:val="16"/>
                <w:lang w:eastAsia="en-ZA"/>
              </w:rPr>
            </w:pPr>
            <w:hyperlink r:id="rId68" w:history="1">
              <w:r w:rsidR="00E4567F" w:rsidRPr="00E4567F">
                <w:rPr>
                  <w:rFonts w:eastAsia="Times New Roman" w:cs="Arial"/>
                  <w:color w:val="0000FF"/>
                  <w:sz w:val="16"/>
                  <w:szCs w:val="16"/>
                  <w:u w:val="single"/>
                  <w:lang w:eastAsia="en-ZA"/>
                </w:rPr>
                <w:t>Pakistan</w:t>
              </w:r>
            </w:hyperlink>
            <w:r w:rsidR="00E4567F" w:rsidRPr="00E4567F">
              <w:rPr>
                <w:rFonts w:eastAsia="Times New Roman" w:cs="Arial"/>
                <w:sz w:val="16"/>
                <w:szCs w:val="16"/>
                <w:lang w:eastAsia="en-ZA"/>
              </w:rPr>
              <w:t xml:space="preserve"> </w:t>
            </w:r>
          </w:p>
        </w:tc>
        <w:tc>
          <w:tcPr>
            <w:tcW w:w="411" w:type="pct"/>
            <w:vAlign w:val="center"/>
            <w:hideMark/>
          </w:tcPr>
          <w:p w14:paraId="2DA61800"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261.73</w:t>
            </w:r>
          </w:p>
        </w:tc>
        <w:tc>
          <w:tcPr>
            <w:tcW w:w="234" w:type="pct"/>
            <w:vAlign w:val="center"/>
            <w:hideMark/>
          </w:tcPr>
          <w:p w14:paraId="57F3707F"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45</w:t>
            </w:r>
          </w:p>
        </w:tc>
        <w:tc>
          <w:tcPr>
            <w:tcW w:w="411" w:type="pct"/>
            <w:shd w:val="clear" w:color="auto" w:fill="DEB887"/>
            <w:vAlign w:val="center"/>
            <w:hideMark/>
          </w:tcPr>
          <w:p w14:paraId="312F9054"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292.22</w:t>
            </w:r>
          </w:p>
        </w:tc>
        <w:tc>
          <w:tcPr>
            <w:tcW w:w="234" w:type="pct"/>
            <w:shd w:val="clear" w:color="auto" w:fill="DEB887"/>
            <w:vAlign w:val="center"/>
            <w:hideMark/>
          </w:tcPr>
          <w:p w14:paraId="08C0B857"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46</w:t>
            </w:r>
          </w:p>
        </w:tc>
        <w:tc>
          <w:tcPr>
            <w:tcW w:w="266" w:type="pct"/>
            <w:shd w:val="clear" w:color="auto" w:fill="DEB887"/>
            <w:vAlign w:val="center"/>
            <w:hideMark/>
          </w:tcPr>
          <w:p w14:paraId="646CA291"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0.308</w:t>
            </w:r>
          </w:p>
        </w:tc>
        <w:tc>
          <w:tcPr>
            <w:tcW w:w="291" w:type="pct"/>
            <w:shd w:val="clear" w:color="auto" w:fill="DEB887"/>
            <w:vAlign w:val="center"/>
            <w:hideMark/>
          </w:tcPr>
          <w:p w14:paraId="36A58106"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3.80</w:t>
            </w:r>
          </w:p>
        </w:tc>
        <w:tc>
          <w:tcPr>
            <w:tcW w:w="334" w:type="pct"/>
            <w:vAlign w:val="center"/>
            <w:hideMark/>
          </w:tcPr>
          <w:p w14:paraId="06538FAF"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3.94</w:t>
            </w:r>
          </w:p>
        </w:tc>
        <w:tc>
          <w:tcPr>
            <w:tcW w:w="527" w:type="pct"/>
            <w:shd w:val="clear" w:color="auto" w:fill="DEB887"/>
            <w:vAlign w:val="center"/>
            <w:hideMark/>
          </w:tcPr>
          <w:p w14:paraId="4EBBF182"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1,401</w:t>
            </w:r>
          </w:p>
        </w:tc>
        <w:tc>
          <w:tcPr>
            <w:tcW w:w="578" w:type="pct"/>
            <w:shd w:val="clear" w:color="auto" w:fill="DEB887"/>
            <w:vAlign w:val="center"/>
            <w:hideMark/>
          </w:tcPr>
          <w:p w14:paraId="1B2CE644"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161</w:t>
            </w:r>
          </w:p>
        </w:tc>
        <w:tc>
          <w:tcPr>
            <w:tcW w:w="579" w:type="pct"/>
            <w:vAlign w:val="center"/>
            <w:hideMark/>
          </w:tcPr>
          <w:p w14:paraId="248A709B"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Asia</w:t>
            </w:r>
          </w:p>
        </w:tc>
      </w:tr>
      <w:tr w:rsidR="00E4567F" w:rsidRPr="00E4567F" w14:paraId="242A0953" w14:textId="77777777" w:rsidTr="00E4567F">
        <w:trPr>
          <w:tblCellSpacing w:w="15" w:type="dxa"/>
        </w:trPr>
        <w:tc>
          <w:tcPr>
            <w:tcW w:w="936" w:type="pct"/>
            <w:vAlign w:val="center"/>
            <w:hideMark/>
          </w:tcPr>
          <w:p w14:paraId="475F7949" w14:textId="77777777" w:rsidR="00E4567F" w:rsidRPr="00E4567F" w:rsidRDefault="00FA1C1A" w:rsidP="00E4567F">
            <w:pPr>
              <w:rPr>
                <w:rFonts w:eastAsia="Times New Roman" w:cs="Arial"/>
                <w:sz w:val="16"/>
                <w:szCs w:val="16"/>
                <w:lang w:eastAsia="en-ZA"/>
              </w:rPr>
            </w:pPr>
            <w:hyperlink r:id="rId69" w:history="1">
              <w:r w:rsidR="00E4567F" w:rsidRPr="00E4567F">
                <w:rPr>
                  <w:rFonts w:eastAsia="Times New Roman" w:cs="Arial"/>
                  <w:color w:val="0000FF"/>
                  <w:sz w:val="16"/>
                  <w:szCs w:val="16"/>
                  <w:u w:val="single"/>
                  <w:lang w:eastAsia="en-ZA"/>
                </w:rPr>
                <w:t>Romania</w:t>
              </w:r>
            </w:hyperlink>
          </w:p>
        </w:tc>
        <w:tc>
          <w:tcPr>
            <w:tcW w:w="411" w:type="pct"/>
            <w:vAlign w:val="center"/>
            <w:hideMark/>
          </w:tcPr>
          <w:p w14:paraId="34BCD23E"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248.72</w:t>
            </w:r>
          </w:p>
        </w:tc>
        <w:tc>
          <w:tcPr>
            <w:tcW w:w="234" w:type="pct"/>
            <w:vAlign w:val="center"/>
            <w:hideMark/>
          </w:tcPr>
          <w:p w14:paraId="4ADA5D81"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47</w:t>
            </w:r>
          </w:p>
        </w:tc>
        <w:tc>
          <w:tcPr>
            <w:tcW w:w="411" w:type="pct"/>
            <w:vAlign w:val="center"/>
            <w:hideMark/>
          </w:tcPr>
          <w:p w14:paraId="3641F48E"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287.28</w:t>
            </w:r>
          </w:p>
        </w:tc>
        <w:tc>
          <w:tcPr>
            <w:tcW w:w="234" w:type="pct"/>
            <w:vAlign w:val="center"/>
            <w:hideMark/>
          </w:tcPr>
          <w:p w14:paraId="1B4FCB7F"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47</w:t>
            </w:r>
          </w:p>
        </w:tc>
        <w:tc>
          <w:tcPr>
            <w:tcW w:w="266" w:type="pct"/>
            <w:vAlign w:val="center"/>
            <w:hideMark/>
          </w:tcPr>
          <w:p w14:paraId="5F3E8DCB"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0.303</w:t>
            </w:r>
          </w:p>
        </w:tc>
        <w:tc>
          <w:tcPr>
            <w:tcW w:w="291" w:type="pct"/>
            <w:vAlign w:val="center"/>
            <w:hideMark/>
          </w:tcPr>
          <w:p w14:paraId="7DD28999"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4.94</w:t>
            </w:r>
          </w:p>
        </w:tc>
        <w:tc>
          <w:tcPr>
            <w:tcW w:w="334" w:type="pct"/>
            <w:vAlign w:val="center"/>
            <w:hideMark/>
          </w:tcPr>
          <w:p w14:paraId="10F59F28"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7.00</w:t>
            </w:r>
          </w:p>
        </w:tc>
        <w:tc>
          <w:tcPr>
            <w:tcW w:w="527" w:type="pct"/>
            <w:vAlign w:val="center"/>
            <w:hideMark/>
          </w:tcPr>
          <w:p w14:paraId="39E77CA6"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14,864</w:t>
            </w:r>
          </w:p>
        </w:tc>
        <w:tc>
          <w:tcPr>
            <w:tcW w:w="578" w:type="pct"/>
            <w:vAlign w:val="center"/>
            <w:hideMark/>
          </w:tcPr>
          <w:p w14:paraId="00A5D236"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58</w:t>
            </w:r>
          </w:p>
        </w:tc>
        <w:tc>
          <w:tcPr>
            <w:tcW w:w="579" w:type="pct"/>
            <w:vAlign w:val="center"/>
            <w:hideMark/>
          </w:tcPr>
          <w:p w14:paraId="747E164A"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Europe</w:t>
            </w:r>
          </w:p>
        </w:tc>
      </w:tr>
      <w:tr w:rsidR="00E4567F" w:rsidRPr="00E4567F" w14:paraId="105EC0D4" w14:textId="77777777" w:rsidTr="00E4567F">
        <w:trPr>
          <w:tblCellSpacing w:w="15" w:type="dxa"/>
        </w:trPr>
        <w:tc>
          <w:tcPr>
            <w:tcW w:w="936" w:type="pct"/>
            <w:vAlign w:val="center"/>
            <w:hideMark/>
          </w:tcPr>
          <w:p w14:paraId="7BB47E81" w14:textId="77777777" w:rsidR="00E4567F" w:rsidRPr="00E4567F" w:rsidRDefault="00FA1C1A" w:rsidP="00E4567F">
            <w:pPr>
              <w:rPr>
                <w:rFonts w:eastAsia="Times New Roman" w:cs="Arial"/>
                <w:sz w:val="16"/>
                <w:szCs w:val="16"/>
                <w:lang w:eastAsia="en-ZA"/>
              </w:rPr>
            </w:pPr>
            <w:hyperlink r:id="rId70" w:history="1">
              <w:r w:rsidR="00E4567F" w:rsidRPr="00E4567F">
                <w:rPr>
                  <w:rFonts w:eastAsia="Times New Roman" w:cs="Arial"/>
                  <w:color w:val="0000FF"/>
                  <w:sz w:val="16"/>
                  <w:szCs w:val="16"/>
                  <w:u w:val="single"/>
                  <w:lang w:eastAsia="en-ZA"/>
                </w:rPr>
                <w:t>Czech Republic</w:t>
              </w:r>
            </w:hyperlink>
          </w:p>
        </w:tc>
        <w:tc>
          <w:tcPr>
            <w:tcW w:w="411" w:type="pct"/>
            <w:vAlign w:val="center"/>
            <w:hideMark/>
          </w:tcPr>
          <w:p w14:paraId="56661465"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245.35</w:t>
            </w:r>
          </w:p>
        </w:tc>
        <w:tc>
          <w:tcPr>
            <w:tcW w:w="234" w:type="pct"/>
            <w:vAlign w:val="center"/>
            <w:hideMark/>
          </w:tcPr>
          <w:p w14:paraId="25295882"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48</w:t>
            </w:r>
          </w:p>
        </w:tc>
        <w:tc>
          <w:tcPr>
            <w:tcW w:w="411" w:type="pct"/>
            <w:vAlign w:val="center"/>
            <w:hideMark/>
          </w:tcPr>
          <w:p w14:paraId="3E3549B2"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276.91</w:t>
            </w:r>
          </w:p>
        </w:tc>
        <w:tc>
          <w:tcPr>
            <w:tcW w:w="234" w:type="pct"/>
            <w:vAlign w:val="center"/>
            <w:hideMark/>
          </w:tcPr>
          <w:p w14:paraId="1D58FCAB"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48</w:t>
            </w:r>
          </w:p>
        </w:tc>
        <w:tc>
          <w:tcPr>
            <w:tcW w:w="266" w:type="pct"/>
            <w:vAlign w:val="center"/>
            <w:hideMark/>
          </w:tcPr>
          <w:p w14:paraId="79E1FF23"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0.292</w:t>
            </w:r>
          </w:p>
        </w:tc>
        <w:tc>
          <w:tcPr>
            <w:tcW w:w="291" w:type="pct"/>
            <w:vAlign w:val="center"/>
            <w:hideMark/>
          </w:tcPr>
          <w:p w14:paraId="6E05EBCE"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10.4</w:t>
            </w:r>
          </w:p>
        </w:tc>
        <w:tc>
          <w:tcPr>
            <w:tcW w:w="334" w:type="pct"/>
            <w:vAlign w:val="center"/>
            <w:hideMark/>
          </w:tcPr>
          <w:p w14:paraId="7434350B"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3.79</w:t>
            </w:r>
          </w:p>
        </w:tc>
        <w:tc>
          <w:tcPr>
            <w:tcW w:w="527" w:type="pct"/>
            <w:vAlign w:val="center"/>
            <w:hideMark/>
          </w:tcPr>
          <w:p w14:paraId="11E3E6E7"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25,806</w:t>
            </w:r>
          </w:p>
        </w:tc>
        <w:tc>
          <w:tcPr>
            <w:tcW w:w="578" w:type="pct"/>
            <w:vAlign w:val="center"/>
            <w:hideMark/>
          </w:tcPr>
          <w:p w14:paraId="6F1DE1CA"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41</w:t>
            </w:r>
          </w:p>
        </w:tc>
        <w:tc>
          <w:tcPr>
            <w:tcW w:w="579" w:type="pct"/>
            <w:vAlign w:val="center"/>
            <w:hideMark/>
          </w:tcPr>
          <w:p w14:paraId="686BF339"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Europe</w:t>
            </w:r>
          </w:p>
        </w:tc>
      </w:tr>
      <w:tr w:rsidR="00E4567F" w:rsidRPr="00E4567F" w14:paraId="635171FC" w14:textId="77777777" w:rsidTr="00E4567F">
        <w:trPr>
          <w:tblCellSpacing w:w="15" w:type="dxa"/>
        </w:trPr>
        <w:tc>
          <w:tcPr>
            <w:tcW w:w="936" w:type="pct"/>
            <w:vAlign w:val="center"/>
            <w:hideMark/>
          </w:tcPr>
          <w:p w14:paraId="1E1846CE" w14:textId="77777777" w:rsidR="00E4567F" w:rsidRPr="00E4567F" w:rsidRDefault="00FA1C1A" w:rsidP="00E4567F">
            <w:pPr>
              <w:rPr>
                <w:rFonts w:eastAsia="Times New Roman" w:cs="Arial"/>
                <w:sz w:val="16"/>
                <w:szCs w:val="16"/>
                <w:lang w:eastAsia="en-ZA"/>
              </w:rPr>
            </w:pPr>
            <w:hyperlink r:id="rId71" w:history="1">
              <w:r w:rsidR="00E4567F" w:rsidRPr="00E4567F">
                <w:rPr>
                  <w:rFonts w:eastAsia="Times New Roman" w:cs="Arial"/>
                  <w:color w:val="0000FF"/>
                  <w:sz w:val="16"/>
                  <w:szCs w:val="16"/>
                  <w:u w:val="single"/>
                  <w:lang w:eastAsia="en-ZA"/>
                </w:rPr>
                <w:t>Portugal</w:t>
              </w:r>
            </w:hyperlink>
          </w:p>
        </w:tc>
        <w:tc>
          <w:tcPr>
            <w:tcW w:w="411" w:type="pct"/>
            <w:vAlign w:val="center"/>
            <w:hideMark/>
          </w:tcPr>
          <w:p w14:paraId="246112BF"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228.36</w:t>
            </w:r>
          </w:p>
        </w:tc>
        <w:tc>
          <w:tcPr>
            <w:tcW w:w="234" w:type="pct"/>
            <w:vAlign w:val="center"/>
            <w:hideMark/>
          </w:tcPr>
          <w:p w14:paraId="3B18EEEC"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49</w:t>
            </w:r>
          </w:p>
        </w:tc>
        <w:tc>
          <w:tcPr>
            <w:tcW w:w="411" w:type="pct"/>
            <w:vAlign w:val="center"/>
            <w:hideMark/>
          </w:tcPr>
          <w:p w14:paraId="46929CCA"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251.71</w:t>
            </w:r>
          </w:p>
        </w:tc>
        <w:tc>
          <w:tcPr>
            <w:tcW w:w="234" w:type="pct"/>
            <w:vAlign w:val="center"/>
            <w:hideMark/>
          </w:tcPr>
          <w:p w14:paraId="0195CF0C"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49</w:t>
            </w:r>
          </w:p>
        </w:tc>
        <w:tc>
          <w:tcPr>
            <w:tcW w:w="266" w:type="pct"/>
            <w:vAlign w:val="center"/>
            <w:hideMark/>
          </w:tcPr>
          <w:p w14:paraId="6B34B4C8"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0.265</w:t>
            </w:r>
          </w:p>
        </w:tc>
        <w:tc>
          <w:tcPr>
            <w:tcW w:w="291" w:type="pct"/>
            <w:vAlign w:val="center"/>
            <w:hideMark/>
          </w:tcPr>
          <w:p w14:paraId="60084A0D"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25.2</w:t>
            </w:r>
          </w:p>
        </w:tc>
        <w:tc>
          <w:tcPr>
            <w:tcW w:w="334" w:type="pct"/>
            <w:vAlign w:val="center"/>
            <w:hideMark/>
          </w:tcPr>
          <w:p w14:paraId="390DC198"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4.44</w:t>
            </w:r>
          </w:p>
        </w:tc>
        <w:tc>
          <w:tcPr>
            <w:tcW w:w="527" w:type="pct"/>
            <w:vAlign w:val="center"/>
            <w:hideMark/>
          </w:tcPr>
          <w:p w14:paraId="5FC8BB22"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24,457</w:t>
            </w:r>
          </w:p>
        </w:tc>
        <w:tc>
          <w:tcPr>
            <w:tcW w:w="578" w:type="pct"/>
            <w:vAlign w:val="center"/>
            <w:hideMark/>
          </w:tcPr>
          <w:p w14:paraId="32BFFC2A"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43</w:t>
            </w:r>
          </w:p>
        </w:tc>
        <w:tc>
          <w:tcPr>
            <w:tcW w:w="579" w:type="pct"/>
            <w:vAlign w:val="center"/>
            <w:hideMark/>
          </w:tcPr>
          <w:p w14:paraId="0A39B7EB"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Europe</w:t>
            </w:r>
          </w:p>
        </w:tc>
      </w:tr>
      <w:tr w:rsidR="00E4567F" w:rsidRPr="00E4567F" w14:paraId="03FF47D7" w14:textId="77777777" w:rsidTr="00E4567F">
        <w:trPr>
          <w:tblCellSpacing w:w="15" w:type="dxa"/>
        </w:trPr>
        <w:tc>
          <w:tcPr>
            <w:tcW w:w="936" w:type="pct"/>
            <w:vAlign w:val="center"/>
            <w:hideMark/>
          </w:tcPr>
          <w:p w14:paraId="468EB28E" w14:textId="77777777" w:rsidR="00E4567F" w:rsidRPr="00E4567F" w:rsidRDefault="00FA1C1A" w:rsidP="00E4567F">
            <w:pPr>
              <w:rPr>
                <w:rFonts w:eastAsia="Times New Roman" w:cs="Arial"/>
                <w:sz w:val="16"/>
                <w:szCs w:val="16"/>
                <w:lang w:eastAsia="en-ZA"/>
              </w:rPr>
            </w:pPr>
            <w:hyperlink r:id="rId72" w:history="1">
              <w:r w:rsidR="00E4567F" w:rsidRPr="00E4567F">
                <w:rPr>
                  <w:rFonts w:eastAsia="Times New Roman" w:cs="Arial"/>
                  <w:color w:val="0000FF"/>
                  <w:sz w:val="16"/>
                  <w:szCs w:val="16"/>
                  <w:u w:val="single"/>
                  <w:lang w:eastAsia="en-ZA"/>
                </w:rPr>
                <w:t>New Zealand</w:t>
              </w:r>
            </w:hyperlink>
          </w:p>
        </w:tc>
        <w:tc>
          <w:tcPr>
            <w:tcW w:w="411" w:type="pct"/>
            <w:vAlign w:val="center"/>
            <w:hideMark/>
          </w:tcPr>
          <w:p w14:paraId="6B64BB8A"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209.38</w:t>
            </w:r>
          </w:p>
        </w:tc>
        <w:tc>
          <w:tcPr>
            <w:tcW w:w="234" w:type="pct"/>
            <w:vAlign w:val="center"/>
            <w:hideMark/>
          </w:tcPr>
          <w:p w14:paraId="127B81B1"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50</w:t>
            </w:r>
          </w:p>
        </w:tc>
        <w:tc>
          <w:tcPr>
            <w:tcW w:w="411" w:type="pct"/>
            <w:vAlign w:val="center"/>
            <w:hideMark/>
          </w:tcPr>
          <w:p w14:paraId="272B0DC9"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247.64</w:t>
            </w:r>
          </w:p>
        </w:tc>
        <w:tc>
          <w:tcPr>
            <w:tcW w:w="234" w:type="pct"/>
            <w:vAlign w:val="center"/>
            <w:hideMark/>
          </w:tcPr>
          <w:p w14:paraId="39BCB17C"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50</w:t>
            </w:r>
          </w:p>
        </w:tc>
        <w:tc>
          <w:tcPr>
            <w:tcW w:w="266" w:type="pct"/>
            <w:vAlign w:val="center"/>
            <w:hideMark/>
          </w:tcPr>
          <w:p w14:paraId="16F1B73E"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0.261</w:t>
            </w:r>
          </w:p>
        </w:tc>
        <w:tc>
          <w:tcPr>
            <w:tcW w:w="291" w:type="pct"/>
            <w:vAlign w:val="center"/>
            <w:hideMark/>
          </w:tcPr>
          <w:p w14:paraId="520F8D27"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4.07</w:t>
            </w:r>
          </w:p>
        </w:tc>
        <w:tc>
          <w:tcPr>
            <w:tcW w:w="334" w:type="pct"/>
            <w:vAlign w:val="center"/>
            <w:hideMark/>
          </w:tcPr>
          <w:p w14:paraId="39A703E2"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5.06</w:t>
            </w:r>
          </w:p>
        </w:tc>
        <w:tc>
          <w:tcPr>
            <w:tcW w:w="527" w:type="pct"/>
            <w:vAlign w:val="center"/>
            <w:hideMark/>
          </w:tcPr>
          <w:p w14:paraId="574CD276"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48,349</w:t>
            </w:r>
          </w:p>
        </w:tc>
        <w:tc>
          <w:tcPr>
            <w:tcW w:w="578" w:type="pct"/>
            <w:vAlign w:val="center"/>
            <w:hideMark/>
          </w:tcPr>
          <w:p w14:paraId="3932DF25"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21</w:t>
            </w:r>
          </w:p>
        </w:tc>
        <w:tc>
          <w:tcPr>
            <w:tcW w:w="579" w:type="pct"/>
            <w:vAlign w:val="center"/>
            <w:hideMark/>
          </w:tcPr>
          <w:p w14:paraId="6FA765F4"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Oceania</w:t>
            </w:r>
          </w:p>
        </w:tc>
      </w:tr>
      <w:tr w:rsidR="00E4567F" w:rsidRPr="00E4567F" w14:paraId="28334747" w14:textId="77777777" w:rsidTr="00E4567F">
        <w:trPr>
          <w:tblCellSpacing w:w="15" w:type="dxa"/>
        </w:trPr>
        <w:tc>
          <w:tcPr>
            <w:tcW w:w="936" w:type="pct"/>
            <w:shd w:val="clear" w:color="auto" w:fill="66FFC2"/>
            <w:vAlign w:val="center"/>
            <w:hideMark/>
          </w:tcPr>
          <w:p w14:paraId="7373C2DE"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 xml:space="preserve">World </w:t>
            </w:r>
          </w:p>
        </w:tc>
        <w:tc>
          <w:tcPr>
            <w:tcW w:w="411" w:type="pct"/>
            <w:shd w:val="clear" w:color="auto" w:fill="66FFC2"/>
            <w:vAlign w:val="center"/>
            <w:hideMark/>
          </w:tcPr>
          <w:p w14:paraId="3B07AE98"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84,972</w:t>
            </w:r>
          </w:p>
        </w:tc>
        <w:tc>
          <w:tcPr>
            <w:tcW w:w="234" w:type="pct"/>
            <w:shd w:val="clear" w:color="auto" w:fill="66FFC2"/>
            <w:vAlign w:val="center"/>
            <w:hideMark/>
          </w:tcPr>
          <w:p w14:paraId="30C1BF15" w14:textId="77777777" w:rsidR="00E4567F" w:rsidRPr="00E4567F" w:rsidRDefault="00E4567F" w:rsidP="00E4567F">
            <w:pPr>
              <w:rPr>
                <w:rFonts w:eastAsia="Times New Roman" w:cs="Arial"/>
                <w:sz w:val="16"/>
                <w:szCs w:val="16"/>
                <w:lang w:eastAsia="en-ZA"/>
              </w:rPr>
            </w:pPr>
          </w:p>
        </w:tc>
        <w:tc>
          <w:tcPr>
            <w:tcW w:w="411" w:type="pct"/>
            <w:shd w:val="clear" w:color="auto" w:fill="66FFC2"/>
            <w:vAlign w:val="center"/>
            <w:hideMark/>
          </w:tcPr>
          <w:p w14:paraId="13CC5582"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94,935</w:t>
            </w:r>
          </w:p>
        </w:tc>
        <w:tc>
          <w:tcPr>
            <w:tcW w:w="234" w:type="pct"/>
            <w:shd w:val="clear" w:color="auto" w:fill="66FFC2"/>
            <w:vAlign w:val="center"/>
            <w:hideMark/>
          </w:tcPr>
          <w:p w14:paraId="20F91DA4" w14:textId="77777777" w:rsidR="00E4567F" w:rsidRPr="00E4567F" w:rsidRDefault="00E4567F" w:rsidP="00E4567F">
            <w:pPr>
              <w:rPr>
                <w:rFonts w:eastAsia="Times New Roman" w:cs="Arial"/>
                <w:sz w:val="16"/>
                <w:szCs w:val="16"/>
                <w:lang w:eastAsia="en-ZA"/>
              </w:rPr>
            </w:pPr>
          </w:p>
        </w:tc>
        <w:tc>
          <w:tcPr>
            <w:tcW w:w="266" w:type="pct"/>
            <w:shd w:val="clear" w:color="auto" w:fill="66FFC2"/>
            <w:vAlign w:val="center"/>
            <w:hideMark/>
          </w:tcPr>
          <w:p w14:paraId="0FF2E603" w14:textId="77777777" w:rsidR="00E4567F" w:rsidRPr="00E4567F" w:rsidRDefault="00E4567F" w:rsidP="00E4567F">
            <w:pPr>
              <w:rPr>
                <w:rFonts w:eastAsia="Times New Roman" w:cs="Arial"/>
                <w:sz w:val="16"/>
                <w:szCs w:val="16"/>
                <w:lang w:eastAsia="en-ZA"/>
              </w:rPr>
            </w:pPr>
          </w:p>
        </w:tc>
        <w:tc>
          <w:tcPr>
            <w:tcW w:w="291" w:type="pct"/>
            <w:shd w:val="clear" w:color="auto" w:fill="66FFC2"/>
            <w:vAlign w:val="center"/>
            <w:hideMark/>
          </w:tcPr>
          <w:p w14:paraId="746EB4DD" w14:textId="77777777" w:rsidR="00E4567F" w:rsidRPr="00E4567F" w:rsidRDefault="00E4567F" w:rsidP="00E4567F">
            <w:pPr>
              <w:rPr>
                <w:rFonts w:eastAsia="Times New Roman" w:cs="Arial"/>
                <w:sz w:val="16"/>
                <w:szCs w:val="16"/>
                <w:lang w:eastAsia="en-ZA"/>
              </w:rPr>
            </w:pPr>
          </w:p>
        </w:tc>
        <w:tc>
          <w:tcPr>
            <w:tcW w:w="334" w:type="pct"/>
            <w:shd w:val="clear" w:color="auto" w:fill="66FFC2"/>
            <w:vAlign w:val="center"/>
            <w:hideMark/>
          </w:tcPr>
          <w:p w14:paraId="561D6FD4"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5.88</w:t>
            </w:r>
          </w:p>
        </w:tc>
        <w:tc>
          <w:tcPr>
            <w:tcW w:w="527" w:type="pct"/>
            <w:shd w:val="clear" w:color="auto" w:fill="66FFC2"/>
            <w:vAlign w:val="center"/>
            <w:hideMark/>
          </w:tcPr>
          <w:p w14:paraId="4258076F"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12,284</w:t>
            </w:r>
          </w:p>
        </w:tc>
        <w:tc>
          <w:tcPr>
            <w:tcW w:w="578" w:type="pct"/>
            <w:shd w:val="clear" w:color="auto" w:fill="66FFC2"/>
            <w:vAlign w:val="center"/>
            <w:hideMark/>
          </w:tcPr>
          <w:p w14:paraId="46220AFC" w14:textId="77777777" w:rsidR="00E4567F" w:rsidRPr="00E4567F" w:rsidRDefault="00E4567F" w:rsidP="00E4567F">
            <w:pPr>
              <w:rPr>
                <w:rFonts w:eastAsia="Times New Roman" w:cs="Arial"/>
                <w:sz w:val="16"/>
                <w:szCs w:val="16"/>
                <w:lang w:eastAsia="en-ZA"/>
              </w:rPr>
            </w:pPr>
          </w:p>
        </w:tc>
        <w:tc>
          <w:tcPr>
            <w:tcW w:w="579" w:type="pct"/>
            <w:shd w:val="clear" w:color="auto" w:fill="66FFC2"/>
            <w:vAlign w:val="center"/>
            <w:hideMark/>
          </w:tcPr>
          <w:p w14:paraId="230C4156" w14:textId="77777777" w:rsidR="00E4567F" w:rsidRPr="00E4567F" w:rsidRDefault="00E4567F" w:rsidP="00E4567F">
            <w:pPr>
              <w:rPr>
                <w:rFonts w:eastAsia="Times New Roman" w:cs="Arial"/>
                <w:sz w:val="16"/>
                <w:szCs w:val="16"/>
                <w:lang w:eastAsia="en-ZA"/>
              </w:rPr>
            </w:pPr>
          </w:p>
        </w:tc>
      </w:tr>
    </w:tbl>
    <w:p w14:paraId="2D987D87" w14:textId="45A04681" w:rsidR="00E4567F" w:rsidRDefault="00E4567F" w:rsidP="00E4567F">
      <w:pPr>
        <w:rPr>
          <w:rFonts w:ascii="Times New Roman" w:eastAsia="Times New Roman" w:hAnsi="Times New Roman" w:cs="Times New Roman"/>
          <w:sz w:val="24"/>
          <w:szCs w:val="24"/>
          <w:lang w:eastAsia="en-ZA"/>
        </w:rPr>
      </w:pPr>
    </w:p>
    <w:p w14:paraId="30BDA4A5" w14:textId="77777777" w:rsidR="00E4567F" w:rsidRDefault="00E4567F">
      <w:pPr>
        <w:rPr>
          <w:rFonts w:ascii="Times New Roman" w:eastAsia="Times New Roman" w:hAnsi="Times New Roman" w:cs="Times New Roman"/>
          <w:sz w:val="24"/>
          <w:szCs w:val="24"/>
          <w:lang w:eastAsia="en-ZA"/>
        </w:rPr>
      </w:pPr>
      <w:r>
        <w:rPr>
          <w:rFonts w:ascii="Times New Roman" w:eastAsia="Times New Roman" w:hAnsi="Times New Roman" w:cs="Times New Roman"/>
          <w:sz w:val="24"/>
          <w:szCs w:val="24"/>
          <w:lang w:eastAsia="en-ZA"/>
        </w:rPr>
        <w:br w:type="page"/>
      </w:r>
    </w:p>
    <w:p w14:paraId="2B891967" w14:textId="77777777" w:rsidR="00E4567F" w:rsidRPr="00E4567F" w:rsidRDefault="00E4567F" w:rsidP="00E4567F">
      <w:pPr>
        <w:rPr>
          <w:rFonts w:ascii="Times New Roman" w:eastAsia="Times New Roman" w:hAnsi="Times New Roman" w:cs="Times New Roman"/>
          <w:sz w:val="24"/>
          <w:szCs w:val="24"/>
          <w:lang w:eastAsia="en-ZA"/>
        </w:rPr>
      </w:pPr>
    </w:p>
    <w:tbl>
      <w:tblPr>
        <w:tblW w:w="5000" w:type="pct"/>
        <w:tblCellSpacing w:w="15" w:type="dxa"/>
        <w:tblBorders>
          <w:top w:val="single" w:sz="6" w:space="0" w:color="A3A375"/>
          <w:left w:val="single" w:sz="6" w:space="0" w:color="A3A375"/>
          <w:bottom w:val="single" w:sz="6" w:space="0" w:color="A3A375"/>
          <w:right w:val="single" w:sz="6" w:space="0" w:color="A3A375"/>
        </w:tblBorders>
        <w:tblCellMar>
          <w:top w:w="15" w:type="dxa"/>
          <w:left w:w="15" w:type="dxa"/>
          <w:bottom w:w="15" w:type="dxa"/>
          <w:right w:w="15" w:type="dxa"/>
        </w:tblCellMar>
        <w:tblLook w:val="04A0" w:firstRow="1" w:lastRow="0" w:firstColumn="1" w:lastColumn="0" w:noHBand="0" w:noVBand="1"/>
      </w:tblPr>
      <w:tblGrid>
        <w:gridCol w:w="1721"/>
        <w:gridCol w:w="772"/>
        <w:gridCol w:w="452"/>
        <w:gridCol w:w="772"/>
        <w:gridCol w:w="452"/>
        <w:gridCol w:w="548"/>
        <w:gridCol w:w="550"/>
        <w:gridCol w:w="654"/>
        <w:gridCol w:w="943"/>
        <w:gridCol w:w="1083"/>
        <w:gridCol w:w="1079"/>
      </w:tblGrid>
      <w:tr w:rsidR="00E4567F" w:rsidRPr="00E4567F" w14:paraId="038FD461" w14:textId="77777777" w:rsidTr="00E4567F">
        <w:trPr>
          <w:trHeight w:val="276"/>
          <w:tblHeader/>
          <w:tblCellSpacing w:w="15" w:type="dxa"/>
        </w:trPr>
        <w:tc>
          <w:tcPr>
            <w:tcW w:w="4979" w:type="pct"/>
            <w:gridSpan w:val="11"/>
            <w:vMerge w:val="restart"/>
            <w:tcBorders>
              <w:top w:val="nil"/>
              <w:left w:val="nil"/>
              <w:bottom w:val="nil"/>
              <w:right w:val="nil"/>
            </w:tcBorders>
            <w:shd w:val="clear" w:color="auto" w:fill="B33C00"/>
            <w:vAlign w:val="center"/>
            <w:hideMark/>
          </w:tcPr>
          <w:p w14:paraId="4E14806E" w14:textId="77777777" w:rsidR="00E4567F" w:rsidRPr="00E4567F" w:rsidRDefault="00E4567F" w:rsidP="00E4567F">
            <w:pPr>
              <w:jc w:val="center"/>
              <w:rPr>
                <w:rFonts w:eastAsia="Times New Roman" w:cs="Arial"/>
                <w:sz w:val="16"/>
                <w:szCs w:val="16"/>
                <w:lang w:eastAsia="en-ZA"/>
              </w:rPr>
            </w:pPr>
            <w:r w:rsidRPr="00E4567F">
              <w:rPr>
                <w:rFonts w:eastAsia="Times New Roman" w:cs="Arial"/>
                <w:sz w:val="16"/>
                <w:szCs w:val="16"/>
                <w:lang w:eastAsia="en-ZA"/>
              </w:rPr>
              <w:t>GDP (PPP) Ranking</w:t>
            </w:r>
          </w:p>
        </w:tc>
      </w:tr>
      <w:tr w:rsidR="00E4567F" w:rsidRPr="00E4567F" w14:paraId="2F8C3655" w14:textId="77777777" w:rsidTr="00E4567F">
        <w:trPr>
          <w:tblHeader/>
          <w:tblCellSpacing w:w="15" w:type="dxa"/>
        </w:trPr>
        <w:tc>
          <w:tcPr>
            <w:tcW w:w="982" w:type="pct"/>
            <w:vMerge w:val="restart"/>
            <w:shd w:val="clear" w:color="auto" w:fill="B33C00"/>
            <w:vAlign w:val="center"/>
            <w:hideMark/>
          </w:tcPr>
          <w:p w14:paraId="3FD34D9A" w14:textId="77777777" w:rsidR="00E4567F" w:rsidRPr="00E4567F" w:rsidRDefault="00E4567F" w:rsidP="00E4567F">
            <w:pPr>
              <w:jc w:val="center"/>
              <w:rPr>
                <w:rFonts w:eastAsia="Times New Roman" w:cs="Arial"/>
                <w:b/>
                <w:bCs/>
                <w:sz w:val="16"/>
                <w:szCs w:val="16"/>
                <w:lang w:eastAsia="en-ZA"/>
              </w:rPr>
            </w:pPr>
            <w:r w:rsidRPr="00E4567F">
              <w:rPr>
                <w:rFonts w:eastAsia="Times New Roman" w:cs="Arial"/>
                <w:b/>
                <w:bCs/>
                <w:sz w:val="16"/>
                <w:szCs w:val="16"/>
                <w:lang w:eastAsia="en-ZA"/>
              </w:rPr>
              <w:t>Country/Economy</w:t>
            </w:r>
          </w:p>
        </w:tc>
        <w:tc>
          <w:tcPr>
            <w:tcW w:w="1841" w:type="pct"/>
            <w:gridSpan w:val="6"/>
            <w:shd w:val="clear" w:color="auto" w:fill="00E64D"/>
            <w:vAlign w:val="center"/>
            <w:hideMark/>
          </w:tcPr>
          <w:p w14:paraId="2854E7E9" w14:textId="77777777" w:rsidR="00E4567F" w:rsidRPr="00E4567F" w:rsidRDefault="00E4567F" w:rsidP="00E4567F">
            <w:pPr>
              <w:jc w:val="center"/>
              <w:rPr>
                <w:rFonts w:eastAsia="Times New Roman" w:cs="Arial"/>
                <w:b/>
                <w:bCs/>
                <w:sz w:val="16"/>
                <w:szCs w:val="16"/>
                <w:lang w:eastAsia="en-ZA"/>
              </w:rPr>
            </w:pPr>
            <w:r w:rsidRPr="00E4567F">
              <w:rPr>
                <w:rFonts w:eastAsia="Times New Roman" w:cs="Arial"/>
                <w:b/>
                <w:bCs/>
                <w:sz w:val="16"/>
                <w:szCs w:val="16"/>
                <w:lang w:eastAsia="en-ZA"/>
              </w:rPr>
              <w:t>GDP (PPP) (billions of Int. $)</w:t>
            </w:r>
          </w:p>
        </w:tc>
        <w:tc>
          <w:tcPr>
            <w:tcW w:w="378" w:type="pct"/>
            <w:shd w:val="clear" w:color="auto" w:fill="1E90FF"/>
            <w:vAlign w:val="center"/>
            <w:hideMark/>
          </w:tcPr>
          <w:p w14:paraId="5C519CC0" w14:textId="77777777" w:rsidR="00E4567F" w:rsidRPr="00E4567F" w:rsidRDefault="00E4567F" w:rsidP="00E4567F">
            <w:pPr>
              <w:jc w:val="center"/>
              <w:rPr>
                <w:rFonts w:eastAsia="Times New Roman" w:cs="Arial"/>
                <w:b/>
                <w:bCs/>
                <w:sz w:val="16"/>
                <w:szCs w:val="16"/>
                <w:lang w:eastAsia="en-ZA"/>
              </w:rPr>
            </w:pPr>
            <w:r w:rsidRPr="00E4567F">
              <w:rPr>
                <w:rFonts w:eastAsia="Times New Roman" w:cs="Arial"/>
                <w:b/>
                <w:bCs/>
                <w:sz w:val="16"/>
                <w:szCs w:val="16"/>
                <w:lang w:eastAsia="en-ZA"/>
              </w:rPr>
              <w:t>Growth (%)</w:t>
            </w:r>
          </w:p>
        </w:tc>
        <w:tc>
          <w:tcPr>
            <w:tcW w:w="1166" w:type="pct"/>
            <w:gridSpan w:val="2"/>
            <w:shd w:val="clear" w:color="auto" w:fill="DEB887"/>
            <w:vAlign w:val="center"/>
            <w:hideMark/>
          </w:tcPr>
          <w:p w14:paraId="41F75A0D" w14:textId="77777777" w:rsidR="00E4567F" w:rsidRPr="00E4567F" w:rsidRDefault="00E4567F" w:rsidP="00E4567F">
            <w:pPr>
              <w:jc w:val="center"/>
              <w:rPr>
                <w:rFonts w:eastAsia="Times New Roman" w:cs="Arial"/>
                <w:b/>
                <w:bCs/>
                <w:sz w:val="16"/>
                <w:szCs w:val="16"/>
                <w:lang w:eastAsia="en-ZA"/>
              </w:rPr>
            </w:pPr>
            <w:r w:rsidRPr="00E4567F">
              <w:rPr>
                <w:rFonts w:eastAsia="Times New Roman" w:cs="Arial"/>
                <w:b/>
                <w:bCs/>
                <w:sz w:val="16"/>
                <w:szCs w:val="16"/>
                <w:lang w:eastAsia="en-ZA"/>
              </w:rPr>
              <w:t>GDP per capita (PPP) (Int. $)</w:t>
            </w:r>
          </w:p>
        </w:tc>
        <w:tc>
          <w:tcPr>
            <w:tcW w:w="570" w:type="pct"/>
            <w:vMerge w:val="restart"/>
            <w:shd w:val="clear" w:color="auto" w:fill="80D4FF"/>
            <w:vAlign w:val="center"/>
            <w:hideMark/>
          </w:tcPr>
          <w:p w14:paraId="49467891" w14:textId="77777777" w:rsidR="00E4567F" w:rsidRPr="00E4567F" w:rsidRDefault="00E4567F" w:rsidP="00E4567F">
            <w:pPr>
              <w:jc w:val="center"/>
              <w:rPr>
                <w:rFonts w:eastAsia="Times New Roman" w:cs="Arial"/>
                <w:b/>
                <w:bCs/>
                <w:sz w:val="16"/>
                <w:szCs w:val="16"/>
                <w:lang w:eastAsia="en-ZA"/>
              </w:rPr>
            </w:pPr>
            <w:r w:rsidRPr="00E4567F">
              <w:rPr>
                <w:rFonts w:eastAsia="Times New Roman" w:cs="Arial"/>
                <w:b/>
                <w:bCs/>
                <w:sz w:val="16"/>
                <w:szCs w:val="16"/>
                <w:lang w:eastAsia="en-ZA"/>
              </w:rPr>
              <w:t>Continent</w:t>
            </w:r>
          </w:p>
        </w:tc>
      </w:tr>
      <w:tr w:rsidR="00E4567F" w:rsidRPr="00E4567F" w14:paraId="76B1391D" w14:textId="77777777" w:rsidTr="00E4567F">
        <w:trPr>
          <w:tblHeader/>
          <w:tblCellSpacing w:w="15" w:type="dxa"/>
        </w:trPr>
        <w:tc>
          <w:tcPr>
            <w:tcW w:w="982" w:type="pct"/>
            <w:vMerge/>
            <w:shd w:val="clear" w:color="auto" w:fill="A3A375"/>
            <w:vAlign w:val="center"/>
            <w:hideMark/>
          </w:tcPr>
          <w:p w14:paraId="310D24AF" w14:textId="77777777" w:rsidR="00E4567F" w:rsidRPr="00E4567F" w:rsidRDefault="00E4567F" w:rsidP="00E4567F">
            <w:pPr>
              <w:rPr>
                <w:rFonts w:eastAsia="Times New Roman" w:cs="Arial"/>
                <w:b/>
                <w:bCs/>
                <w:sz w:val="16"/>
                <w:szCs w:val="16"/>
                <w:lang w:eastAsia="en-ZA"/>
              </w:rPr>
            </w:pPr>
          </w:p>
        </w:tc>
        <w:tc>
          <w:tcPr>
            <w:tcW w:w="378" w:type="pct"/>
            <w:shd w:val="clear" w:color="auto" w:fill="A3A375"/>
            <w:vAlign w:val="center"/>
            <w:hideMark/>
          </w:tcPr>
          <w:p w14:paraId="60452431" w14:textId="77777777" w:rsidR="00E4567F" w:rsidRPr="00E4567F" w:rsidRDefault="00E4567F" w:rsidP="00E4567F">
            <w:pPr>
              <w:jc w:val="center"/>
              <w:rPr>
                <w:rFonts w:eastAsia="Times New Roman" w:cs="Arial"/>
                <w:b/>
                <w:bCs/>
                <w:sz w:val="16"/>
                <w:szCs w:val="16"/>
                <w:lang w:eastAsia="en-ZA"/>
              </w:rPr>
            </w:pPr>
            <w:r w:rsidRPr="00E4567F">
              <w:rPr>
                <w:rFonts w:eastAsia="Times New Roman" w:cs="Arial"/>
                <w:b/>
                <w:bCs/>
                <w:sz w:val="16"/>
                <w:szCs w:val="16"/>
                <w:lang w:eastAsia="en-ZA"/>
              </w:rPr>
              <w:t>2020</w:t>
            </w:r>
          </w:p>
        </w:tc>
        <w:tc>
          <w:tcPr>
            <w:tcW w:w="226" w:type="pct"/>
            <w:shd w:val="clear" w:color="auto" w:fill="A3A375"/>
            <w:vAlign w:val="center"/>
            <w:hideMark/>
          </w:tcPr>
          <w:p w14:paraId="578A44BD" w14:textId="77777777" w:rsidR="00E4567F" w:rsidRPr="00E4567F" w:rsidRDefault="00E4567F" w:rsidP="00E4567F">
            <w:pPr>
              <w:jc w:val="center"/>
              <w:rPr>
                <w:rFonts w:eastAsia="Times New Roman" w:cs="Arial"/>
                <w:b/>
                <w:bCs/>
                <w:sz w:val="16"/>
                <w:szCs w:val="16"/>
                <w:lang w:eastAsia="en-ZA"/>
              </w:rPr>
            </w:pPr>
            <w:r w:rsidRPr="00E4567F">
              <w:rPr>
                <w:rFonts w:eastAsia="Times New Roman" w:cs="Arial"/>
                <w:b/>
                <w:bCs/>
                <w:sz w:val="16"/>
                <w:szCs w:val="16"/>
                <w:lang w:eastAsia="en-ZA"/>
              </w:rPr>
              <w:t>Rank</w:t>
            </w:r>
          </w:p>
        </w:tc>
        <w:tc>
          <w:tcPr>
            <w:tcW w:w="378" w:type="pct"/>
            <w:shd w:val="clear" w:color="auto" w:fill="A3A375"/>
            <w:vAlign w:val="center"/>
            <w:hideMark/>
          </w:tcPr>
          <w:p w14:paraId="6E7BF7CD" w14:textId="77777777" w:rsidR="00E4567F" w:rsidRPr="00E4567F" w:rsidRDefault="00E4567F" w:rsidP="00E4567F">
            <w:pPr>
              <w:jc w:val="center"/>
              <w:rPr>
                <w:rFonts w:eastAsia="Times New Roman" w:cs="Arial"/>
                <w:b/>
                <w:bCs/>
                <w:sz w:val="16"/>
                <w:szCs w:val="16"/>
                <w:lang w:eastAsia="en-ZA"/>
              </w:rPr>
            </w:pPr>
            <w:r w:rsidRPr="00E4567F">
              <w:rPr>
                <w:rFonts w:eastAsia="Times New Roman" w:cs="Arial"/>
                <w:b/>
                <w:bCs/>
                <w:sz w:val="16"/>
                <w:szCs w:val="16"/>
                <w:lang w:eastAsia="en-ZA"/>
              </w:rPr>
              <w:t>2021</w:t>
            </w:r>
          </w:p>
        </w:tc>
        <w:tc>
          <w:tcPr>
            <w:tcW w:w="226" w:type="pct"/>
            <w:shd w:val="clear" w:color="auto" w:fill="A3A375"/>
            <w:vAlign w:val="center"/>
            <w:hideMark/>
          </w:tcPr>
          <w:p w14:paraId="24DE57F4" w14:textId="77777777" w:rsidR="00E4567F" w:rsidRPr="00E4567F" w:rsidRDefault="00E4567F" w:rsidP="00E4567F">
            <w:pPr>
              <w:jc w:val="center"/>
              <w:rPr>
                <w:rFonts w:eastAsia="Times New Roman" w:cs="Arial"/>
                <w:b/>
                <w:bCs/>
                <w:sz w:val="16"/>
                <w:szCs w:val="16"/>
                <w:lang w:eastAsia="en-ZA"/>
              </w:rPr>
            </w:pPr>
            <w:r w:rsidRPr="00E4567F">
              <w:rPr>
                <w:rFonts w:eastAsia="Times New Roman" w:cs="Arial"/>
                <w:b/>
                <w:bCs/>
                <w:sz w:val="16"/>
                <w:szCs w:val="16"/>
                <w:lang w:eastAsia="en-ZA"/>
              </w:rPr>
              <w:t>Rank</w:t>
            </w:r>
          </w:p>
        </w:tc>
        <w:tc>
          <w:tcPr>
            <w:tcW w:w="317" w:type="pct"/>
            <w:shd w:val="clear" w:color="auto" w:fill="A3A375"/>
            <w:vAlign w:val="center"/>
            <w:hideMark/>
          </w:tcPr>
          <w:p w14:paraId="00E0F573" w14:textId="77777777" w:rsidR="00E4567F" w:rsidRPr="00E4567F" w:rsidRDefault="00E4567F" w:rsidP="00E4567F">
            <w:pPr>
              <w:jc w:val="center"/>
              <w:rPr>
                <w:rFonts w:eastAsia="Times New Roman" w:cs="Arial"/>
                <w:b/>
                <w:bCs/>
                <w:sz w:val="16"/>
                <w:szCs w:val="16"/>
                <w:lang w:eastAsia="en-ZA"/>
              </w:rPr>
            </w:pPr>
            <w:r w:rsidRPr="00E4567F">
              <w:rPr>
                <w:rFonts w:eastAsia="Times New Roman" w:cs="Arial"/>
                <w:b/>
                <w:bCs/>
                <w:sz w:val="16"/>
                <w:szCs w:val="16"/>
                <w:lang w:eastAsia="en-ZA"/>
              </w:rPr>
              <w:t>Share</w:t>
            </w:r>
          </w:p>
        </w:tc>
        <w:tc>
          <w:tcPr>
            <w:tcW w:w="263" w:type="pct"/>
            <w:shd w:val="clear" w:color="auto" w:fill="A3A375"/>
            <w:vAlign w:val="center"/>
            <w:hideMark/>
          </w:tcPr>
          <w:p w14:paraId="5134ED08" w14:textId="77777777" w:rsidR="00E4567F" w:rsidRPr="00E4567F" w:rsidRDefault="00E4567F" w:rsidP="00E4567F">
            <w:pPr>
              <w:jc w:val="center"/>
              <w:rPr>
                <w:rFonts w:eastAsia="Times New Roman" w:cs="Arial"/>
                <w:b/>
                <w:bCs/>
                <w:sz w:val="16"/>
                <w:szCs w:val="16"/>
                <w:lang w:eastAsia="en-ZA"/>
              </w:rPr>
            </w:pPr>
            <w:r w:rsidRPr="00E4567F">
              <w:rPr>
                <w:rFonts w:eastAsia="Times New Roman" w:cs="Arial"/>
                <w:b/>
                <w:bCs/>
                <w:sz w:val="16"/>
                <w:szCs w:val="16"/>
                <w:lang w:eastAsia="en-ZA"/>
              </w:rPr>
              <w:t>diff</w:t>
            </w:r>
          </w:p>
        </w:tc>
        <w:tc>
          <w:tcPr>
            <w:tcW w:w="378" w:type="pct"/>
            <w:shd w:val="clear" w:color="auto" w:fill="A3A375"/>
            <w:vAlign w:val="center"/>
            <w:hideMark/>
          </w:tcPr>
          <w:p w14:paraId="767624D8" w14:textId="77777777" w:rsidR="00E4567F" w:rsidRPr="00E4567F" w:rsidRDefault="00E4567F" w:rsidP="00E4567F">
            <w:pPr>
              <w:jc w:val="center"/>
              <w:rPr>
                <w:rFonts w:eastAsia="Times New Roman" w:cs="Arial"/>
                <w:b/>
                <w:bCs/>
                <w:sz w:val="16"/>
                <w:szCs w:val="16"/>
                <w:lang w:eastAsia="en-ZA"/>
              </w:rPr>
            </w:pPr>
            <w:r w:rsidRPr="00E4567F">
              <w:rPr>
                <w:rFonts w:eastAsia="Times New Roman" w:cs="Arial"/>
                <w:b/>
                <w:bCs/>
                <w:sz w:val="16"/>
                <w:szCs w:val="16"/>
                <w:lang w:eastAsia="en-ZA"/>
              </w:rPr>
              <w:t>2021</w:t>
            </w:r>
          </w:p>
        </w:tc>
        <w:tc>
          <w:tcPr>
            <w:tcW w:w="543" w:type="pct"/>
            <w:shd w:val="clear" w:color="auto" w:fill="A3A375"/>
            <w:vAlign w:val="center"/>
            <w:hideMark/>
          </w:tcPr>
          <w:p w14:paraId="2D706F13" w14:textId="77777777" w:rsidR="00E4567F" w:rsidRPr="00E4567F" w:rsidRDefault="00E4567F" w:rsidP="00E4567F">
            <w:pPr>
              <w:jc w:val="center"/>
              <w:rPr>
                <w:rFonts w:eastAsia="Times New Roman" w:cs="Arial"/>
                <w:b/>
                <w:bCs/>
                <w:sz w:val="16"/>
                <w:szCs w:val="16"/>
                <w:lang w:eastAsia="en-ZA"/>
              </w:rPr>
            </w:pPr>
            <w:r w:rsidRPr="00E4567F">
              <w:rPr>
                <w:rFonts w:eastAsia="Times New Roman" w:cs="Arial"/>
                <w:b/>
                <w:bCs/>
                <w:sz w:val="16"/>
                <w:szCs w:val="16"/>
                <w:lang w:eastAsia="en-ZA"/>
              </w:rPr>
              <w:t>2021</w:t>
            </w:r>
          </w:p>
        </w:tc>
        <w:tc>
          <w:tcPr>
            <w:tcW w:w="612" w:type="pct"/>
            <w:shd w:val="clear" w:color="auto" w:fill="A3A375"/>
            <w:vAlign w:val="center"/>
            <w:hideMark/>
          </w:tcPr>
          <w:p w14:paraId="4D620870" w14:textId="77777777" w:rsidR="00E4567F" w:rsidRPr="00E4567F" w:rsidRDefault="00E4567F" w:rsidP="00E4567F">
            <w:pPr>
              <w:jc w:val="center"/>
              <w:rPr>
                <w:rFonts w:eastAsia="Times New Roman" w:cs="Arial"/>
                <w:b/>
                <w:bCs/>
                <w:sz w:val="16"/>
                <w:szCs w:val="16"/>
                <w:lang w:eastAsia="en-ZA"/>
              </w:rPr>
            </w:pPr>
            <w:r w:rsidRPr="00E4567F">
              <w:rPr>
                <w:rFonts w:eastAsia="Times New Roman" w:cs="Arial"/>
                <w:b/>
                <w:bCs/>
                <w:sz w:val="16"/>
                <w:szCs w:val="16"/>
                <w:lang w:eastAsia="en-ZA"/>
              </w:rPr>
              <w:t>Rank</w:t>
            </w:r>
          </w:p>
        </w:tc>
        <w:tc>
          <w:tcPr>
            <w:tcW w:w="570" w:type="pct"/>
            <w:vMerge/>
            <w:shd w:val="clear" w:color="auto" w:fill="A3A375"/>
            <w:vAlign w:val="center"/>
            <w:hideMark/>
          </w:tcPr>
          <w:p w14:paraId="44EA970A" w14:textId="77777777" w:rsidR="00E4567F" w:rsidRPr="00E4567F" w:rsidRDefault="00E4567F" w:rsidP="00E4567F">
            <w:pPr>
              <w:rPr>
                <w:rFonts w:eastAsia="Times New Roman" w:cs="Arial"/>
                <w:b/>
                <w:bCs/>
                <w:sz w:val="16"/>
                <w:szCs w:val="16"/>
                <w:lang w:eastAsia="en-ZA"/>
              </w:rPr>
            </w:pPr>
          </w:p>
        </w:tc>
      </w:tr>
      <w:tr w:rsidR="00E4567F" w:rsidRPr="00E4567F" w14:paraId="4C603799" w14:textId="77777777" w:rsidTr="00E4567F">
        <w:trPr>
          <w:tblCellSpacing w:w="15" w:type="dxa"/>
        </w:trPr>
        <w:tc>
          <w:tcPr>
            <w:tcW w:w="982" w:type="pct"/>
            <w:vAlign w:val="center"/>
            <w:hideMark/>
          </w:tcPr>
          <w:p w14:paraId="07E90F9D" w14:textId="77777777" w:rsidR="00E4567F" w:rsidRPr="00E4567F" w:rsidRDefault="00FA1C1A" w:rsidP="00E4567F">
            <w:pPr>
              <w:rPr>
                <w:rFonts w:eastAsia="Times New Roman" w:cs="Arial"/>
                <w:sz w:val="16"/>
                <w:szCs w:val="16"/>
                <w:lang w:eastAsia="en-ZA"/>
              </w:rPr>
            </w:pPr>
            <w:hyperlink r:id="rId73" w:history="1">
              <w:r w:rsidR="00E4567F" w:rsidRPr="00E4567F">
                <w:rPr>
                  <w:rFonts w:eastAsia="Times New Roman" w:cs="Arial"/>
                  <w:color w:val="0000FF"/>
                  <w:sz w:val="16"/>
                  <w:szCs w:val="16"/>
                  <w:u w:val="single"/>
                  <w:lang w:eastAsia="en-ZA"/>
                </w:rPr>
                <w:t>China</w:t>
              </w:r>
            </w:hyperlink>
          </w:p>
        </w:tc>
        <w:tc>
          <w:tcPr>
            <w:tcW w:w="378" w:type="pct"/>
            <w:vAlign w:val="center"/>
            <w:hideMark/>
          </w:tcPr>
          <w:p w14:paraId="1308BA1A"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24,191.30</w:t>
            </w:r>
          </w:p>
        </w:tc>
        <w:tc>
          <w:tcPr>
            <w:tcW w:w="226" w:type="pct"/>
            <w:vAlign w:val="center"/>
            <w:hideMark/>
          </w:tcPr>
          <w:p w14:paraId="50D83689"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1</w:t>
            </w:r>
          </w:p>
        </w:tc>
        <w:tc>
          <w:tcPr>
            <w:tcW w:w="378" w:type="pct"/>
            <w:vAlign w:val="center"/>
            <w:hideMark/>
          </w:tcPr>
          <w:p w14:paraId="11B0FD5D"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27,071.96</w:t>
            </w:r>
          </w:p>
        </w:tc>
        <w:tc>
          <w:tcPr>
            <w:tcW w:w="226" w:type="pct"/>
            <w:vAlign w:val="center"/>
            <w:hideMark/>
          </w:tcPr>
          <w:p w14:paraId="4DF49939"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1</w:t>
            </w:r>
          </w:p>
        </w:tc>
        <w:tc>
          <w:tcPr>
            <w:tcW w:w="317" w:type="pct"/>
            <w:vAlign w:val="center"/>
            <w:hideMark/>
          </w:tcPr>
          <w:p w14:paraId="3BA701A4"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18.7 %</w:t>
            </w:r>
          </w:p>
        </w:tc>
        <w:tc>
          <w:tcPr>
            <w:tcW w:w="263" w:type="pct"/>
            <w:vAlign w:val="center"/>
            <w:hideMark/>
          </w:tcPr>
          <w:p w14:paraId="10F6B391"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w:t>
            </w:r>
          </w:p>
        </w:tc>
        <w:tc>
          <w:tcPr>
            <w:tcW w:w="378" w:type="pct"/>
            <w:vAlign w:val="center"/>
            <w:hideMark/>
          </w:tcPr>
          <w:p w14:paraId="635383FC"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8.02</w:t>
            </w:r>
          </w:p>
        </w:tc>
        <w:tc>
          <w:tcPr>
            <w:tcW w:w="543" w:type="pct"/>
            <w:vAlign w:val="center"/>
            <w:hideMark/>
          </w:tcPr>
          <w:p w14:paraId="15FB513C"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19,090</w:t>
            </w:r>
          </w:p>
        </w:tc>
        <w:tc>
          <w:tcPr>
            <w:tcW w:w="612" w:type="pct"/>
            <w:vAlign w:val="center"/>
            <w:hideMark/>
          </w:tcPr>
          <w:p w14:paraId="656839D8"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75</w:t>
            </w:r>
          </w:p>
        </w:tc>
        <w:tc>
          <w:tcPr>
            <w:tcW w:w="570" w:type="pct"/>
            <w:vAlign w:val="center"/>
            <w:hideMark/>
          </w:tcPr>
          <w:p w14:paraId="6A800582"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Asia</w:t>
            </w:r>
          </w:p>
        </w:tc>
      </w:tr>
      <w:tr w:rsidR="00E4567F" w:rsidRPr="00E4567F" w14:paraId="7C50C53B" w14:textId="77777777" w:rsidTr="00E4567F">
        <w:trPr>
          <w:tblCellSpacing w:w="15" w:type="dxa"/>
        </w:trPr>
        <w:tc>
          <w:tcPr>
            <w:tcW w:w="982" w:type="pct"/>
            <w:vAlign w:val="center"/>
            <w:hideMark/>
          </w:tcPr>
          <w:p w14:paraId="2241CD96" w14:textId="77777777" w:rsidR="00E4567F" w:rsidRPr="00E4567F" w:rsidRDefault="00FA1C1A" w:rsidP="00E4567F">
            <w:pPr>
              <w:rPr>
                <w:rFonts w:eastAsia="Times New Roman" w:cs="Arial"/>
                <w:sz w:val="16"/>
                <w:szCs w:val="16"/>
                <w:lang w:eastAsia="en-ZA"/>
              </w:rPr>
            </w:pPr>
            <w:hyperlink r:id="rId74" w:history="1">
              <w:r w:rsidR="00E4567F" w:rsidRPr="00E4567F">
                <w:rPr>
                  <w:rFonts w:eastAsia="Times New Roman" w:cs="Arial"/>
                  <w:color w:val="0000FF"/>
                  <w:sz w:val="16"/>
                  <w:szCs w:val="16"/>
                  <w:u w:val="single"/>
                  <w:lang w:eastAsia="en-ZA"/>
                </w:rPr>
                <w:t>United States</w:t>
              </w:r>
            </w:hyperlink>
          </w:p>
        </w:tc>
        <w:tc>
          <w:tcPr>
            <w:tcW w:w="378" w:type="pct"/>
            <w:vAlign w:val="center"/>
            <w:hideMark/>
          </w:tcPr>
          <w:p w14:paraId="5178C7A3"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20,893.75</w:t>
            </w:r>
          </w:p>
        </w:tc>
        <w:tc>
          <w:tcPr>
            <w:tcW w:w="226" w:type="pct"/>
            <w:vAlign w:val="center"/>
            <w:hideMark/>
          </w:tcPr>
          <w:p w14:paraId="218F9162"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2</w:t>
            </w:r>
          </w:p>
        </w:tc>
        <w:tc>
          <w:tcPr>
            <w:tcW w:w="378" w:type="pct"/>
            <w:vAlign w:val="center"/>
            <w:hideMark/>
          </w:tcPr>
          <w:p w14:paraId="1BC915ED"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22,939.58</w:t>
            </w:r>
          </w:p>
        </w:tc>
        <w:tc>
          <w:tcPr>
            <w:tcW w:w="226" w:type="pct"/>
            <w:vAlign w:val="center"/>
            <w:hideMark/>
          </w:tcPr>
          <w:p w14:paraId="0C5AD6DB"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2</w:t>
            </w:r>
          </w:p>
        </w:tc>
        <w:tc>
          <w:tcPr>
            <w:tcW w:w="317" w:type="pct"/>
            <w:vAlign w:val="center"/>
            <w:hideMark/>
          </w:tcPr>
          <w:p w14:paraId="13F1340D"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15.9 %</w:t>
            </w:r>
          </w:p>
        </w:tc>
        <w:tc>
          <w:tcPr>
            <w:tcW w:w="263" w:type="pct"/>
            <w:vAlign w:val="center"/>
            <w:hideMark/>
          </w:tcPr>
          <w:p w14:paraId="27669BCF"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4,132</w:t>
            </w:r>
          </w:p>
        </w:tc>
        <w:tc>
          <w:tcPr>
            <w:tcW w:w="378" w:type="pct"/>
            <w:vAlign w:val="center"/>
            <w:hideMark/>
          </w:tcPr>
          <w:p w14:paraId="267419CF"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5.97</w:t>
            </w:r>
          </w:p>
        </w:tc>
        <w:tc>
          <w:tcPr>
            <w:tcW w:w="543" w:type="pct"/>
            <w:vAlign w:val="center"/>
            <w:hideMark/>
          </w:tcPr>
          <w:p w14:paraId="4F0EEA39"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69,375</w:t>
            </w:r>
          </w:p>
        </w:tc>
        <w:tc>
          <w:tcPr>
            <w:tcW w:w="612" w:type="pct"/>
            <w:vAlign w:val="center"/>
            <w:hideMark/>
          </w:tcPr>
          <w:p w14:paraId="0A3C6640"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8</w:t>
            </w:r>
          </w:p>
        </w:tc>
        <w:tc>
          <w:tcPr>
            <w:tcW w:w="570" w:type="pct"/>
            <w:vAlign w:val="center"/>
            <w:hideMark/>
          </w:tcPr>
          <w:p w14:paraId="4A2B5B0C"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North America</w:t>
            </w:r>
          </w:p>
        </w:tc>
      </w:tr>
      <w:tr w:rsidR="00E4567F" w:rsidRPr="00E4567F" w14:paraId="3AA6D597" w14:textId="77777777" w:rsidTr="00E4567F">
        <w:trPr>
          <w:tblCellSpacing w:w="15" w:type="dxa"/>
        </w:trPr>
        <w:tc>
          <w:tcPr>
            <w:tcW w:w="982" w:type="pct"/>
            <w:vAlign w:val="center"/>
            <w:hideMark/>
          </w:tcPr>
          <w:p w14:paraId="41AB5B86" w14:textId="77777777" w:rsidR="00E4567F" w:rsidRPr="00E4567F" w:rsidRDefault="00FA1C1A" w:rsidP="00E4567F">
            <w:pPr>
              <w:rPr>
                <w:rFonts w:eastAsia="Times New Roman" w:cs="Arial"/>
                <w:sz w:val="16"/>
                <w:szCs w:val="16"/>
                <w:lang w:eastAsia="en-ZA"/>
              </w:rPr>
            </w:pPr>
            <w:hyperlink r:id="rId75" w:history="1">
              <w:r w:rsidR="00E4567F" w:rsidRPr="00E4567F">
                <w:rPr>
                  <w:rFonts w:eastAsia="Times New Roman" w:cs="Arial"/>
                  <w:color w:val="0000FF"/>
                  <w:sz w:val="16"/>
                  <w:szCs w:val="16"/>
                  <w:u w:val="single"/>
                  <w:lang w:eastAsia="en-ZA"/>
                </w:rPr>
                <w:t>India</w:t>
              </w:r>
            </w:hyperlink>
          </w:p>
        </w:tc>
        <w:tc>
          <w:tcPr>
            <w:tcW w:w="378" w:type="pct"/>
            <w:vAlign w:val="center"/>
            <w:hideMark/>
          </w:tcPr>
          <w:p w14:paraId="65E2FD84"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8,974.74</w:t>
            </w:r>
          </w:p>
        </w:tc>
        <w:tc>
          <w:tcPr>
            <w:tcW w:w="226" w:type="pct"/>
            <w:vAlign w:val="center"/>
            <w:hideMark/>
          </w:tcPr>
          <w:p w14:paraId="5024A8FD"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3</w:t>
            </w:r>
          </w:p>
        </w:tc>
        <w:tc>
          <w:tcPr>
            <w:tcW w:w="378" w:type="pct"/>
            <w:vAlign w:val="center"/>
            <w:hideMark/>
          </w:tcPr>
          <w:p w14:paraId="2973CB4D"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10,181.17</w:t>
            </w:r>
          </w:p>
        </w:tc>
        <w:tc>
          <w:tcPr>
            <w:tcW w:w="226" w:type="pct"/>
            <w:vAlign w:val="center"/>
            <w:hideMark/>
          </w:tcPr>
          <w:p w14:paraId="5A4B1732"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3</w:t>
            </w:r>
          </w:p>
        </w:tc>
        <w:tc>
          <w:tcPr>
            <w:tcW w:w="317" w:type="pct"/>
            <w:vAlign w:val="center"/>
            <w:hideMark/>
          </w:tcPr>
          <w:p w14:paraId="0DC5CB49"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7.04 %</w:t>
            </w:r>
          </w:p>
        </w:tc>
        <w:tc>
          <w:tcPr>
            <w:tcW w:w="263" w:type="pct"/>
            <w:vAlign w:val="center"/>
            <w:hideMark/>
          </w:tcPr>
          <w:p w14:paraId="78145521"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12,758</w:t>
            </w:r>
          </w:p>
        </w:tc>
        <w:tc>
          <w:tcPr>
            <w:tcW w:w="378" w:type="pct"/>
            <w:vAlign w:val="center"/>
            <w:hideMark/>
          </w:tcPr>
          <w:p w14:paraId="3F12DA3C"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9.50</w:t>
            </w:r>
          </w:p>
        </w:tc>
        <w:tc>
          <w:tcPr>
            <w:tcW w:w="543" w:type="pct"/>
            <w:vAlign w:val="center"/>
            <w:hideMark/>
          </w:tcPr>
          <w:p w14:paraId="514B0464"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7,314</w:t>
            </w:r>
          </w:p>
        </w:tc>
        <w:tc>
          <w:tcPr>
            <w:tcW w:w="612" w:type="pct"/>
            <w:vAlign w:val="center"/>
            <w:hideMark/>
          </w:tcPr>
          <w:p w14:paraId="45F44CF1"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129</w:t>
            </w:r>
          </w:p>
        </w:tc>
        <w:tc>
          <w:tcPr>
            <w:tcW w:w="570" w:type="pct"/>
            <w:vAlign w:val="center"/>
            <w:hideMark/>
          </w:tcPr>
          <w:p w14:paraId="48388082"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Asia</w:t>
            </w:r>
          </w:p>
        </w:tc>
      </w:tr>
      <w:tr w:rsidR="00E4567F" w:rsidRPr="00E4567F" w14:paraId="3ACD5201" w14:textId="77777777" w:rsidTr="00E4567F">
        <w:trPr>
          <w:tblCellSpacing w:w="15" w:type="dxa"/>
        </w:trPr>
        <w:tc>
          <w:tcPr>
            <w:tcW w:w="982" w:type="pct"/>
            <w:vAlign w:val="center"/>
            <w:hideMark/>
          </w:tcPr>
          <w:p w14:paraId="2D5CDDF2" w14:textId="77777777" w:rsidR="00E4567F" w:rsidRPr="00E4567F" w:rsidRDefault="00FA1C1A" w:rsidP="00E4567F">
            <w:pPr>
              <w:rPr>
                <w:rFonts w:eastAsia="Times New Roman" w:cs="Arial"/>
                <w:sz w:val="16"/>
                <w:szCs w:val="16"/>
                <w:lang w:eastAsia="en-ZA"/>
              </w:rPr>
            </w:pPr>
            <w:hyperlink r:id="rId76" w:history="1">
              <w:r w:rsidR="00E4567F" w:rsidRPr="00E4567F">
                <w:rPr>
                  <w:rFonts w:eastAsia="Times New Roman" w:cs="Arial"/>
                  <w:color w:val="0000FF"/>
                  <w:sz w:val="16"/>
                  <w:szCs w:val="16"/>
                  <w:u w:val="single"/>
                  <w:lang w:eastAsia="en-ZA"/>
                </w:rPr>
                <w:t>Japan</w:t>
              </w:r>
            </w:hyperlink>
          </w:p>
        </w:tc>
        <w:tc>
          <w:tcPr>
            <w:tcW w:w="378" w:type="pct"/>
            <w:vAlign w:val="center"/>
            <w:hideMark/>
          </w:tcPr>
          <w:p w14:paraId="5EBB4974"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5,312.30</w:t>
            </w:r>
          </w:p>
        </w:tc>
        <w:tc>
          <w:tcPr>
            <w:tcW w:w="226" w:type="pct"/>
            <w:vAlign w:val="center"/>
            <w:hideMark/>
          </w:tcPr>
          <w:p w14:paraId="51FDDE5A"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4</w:t>
            </w:r>
          </w:p>
        </w:tc>
        <w:tc>
          <w:tcPr>
            <w:tcW w:w="378" w:type="pct"/>
            <w:vAlign w:val="center"/>
            <w:hideMark/>
          </w:tcPr>
          <w:p w14:paraId="1347FC2A"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5,633.51</w:t>
            </w:r>
          </w:p>
        </w:tc>
        <w:tc>
          <w:tcPr>
            <w:tcW w:w="226" w:type="pct"/>
            <w:vAlign w:val="center"/>
            <w:hideMark/>
          </w:tcPr>
          <w:p w14:paraId="4BA18616"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4</w:t>
            </w:r>
          </w:p>
        </w:tc>
        <w:tc>
          <w:tcPr>
            <w:tcW w:w="317" w:type="pct"/>
            <w:vAlign w:val="center"/>
            <w:hideMark/>
          </w:tcPr>
          <w:p w14:paraId="0EA1E7FE"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3.89 %</w:t>
            </w:r>
          </w:p>
        </w:tc>
        <w:tc>
          <w:tcPr>
            <w:tcW w:w="263" w:type="pct"/>
            <w:vAlign w:val="center"/>
            <w:hideMark/>
          </w:tcPr>
          <w:p w14:paraId="744DA142"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4,548</w:t>
            </w:r>
          </w:p>
        </w:tc>
        <w:tc>
          <w:tcPr>
            <w:tcW w:w="378" w:type="pct"/>
            <w:vAlign w:val="center"/>
            <w:hideMark/>
          </w:tcPr>
          <w:p w14:paraId="613064B3"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2.36</w:t>
            </w:r>
          </w:p>
        </w:tc>
        <w:tc>
          <w:tcPr>
            <w:tcW w:w="543" w:type="pct"/>
            <w:vAlign w:val="center"/>
            <w:hideMark/>
          </w:tcPr>
          <w:p w14:paraId="18940D75"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44,935</w:t>
            </w:r>
          </w:p>
        </w:tc>
        <w:tc>
          <w:tcPr>
            <w:tcW w:w="612" w:type="pct"/>
            <w:vAlign w:val="center"/>
            <w:hideMark/>
          </w:tcPr>
          <w:p w14:paraId="02D50099"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34</w:t>
            </w:r>
          </w:p>
        </w:tc>
        <w:tc>
          <w:tcPr>
            <w:tcW w:w="570" w:type="pct"/>
            <w:vAlign w:val="center"/>
            <w:hideMark/>
          </w:tcPr>
          <w:p w14:paraId="40849ECF"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Asia</w:t>
            </w:r>
          </w:p>
        </w:tc>
      </w:tr>
      <w:tr w:rsidR="00E4567F" w:rsidRPr="00E4567F" w14:paraId="25F16592" w14:textId="77777777" w:rsidTr="00E4567F">
        <w:trPr>
          <w:tblCellSpacing w:w="15" w:type="dxa"/>
        </w:trPr>
        <w:tc>
          <w:tcPr>
            <w:tcW w:w="982" w:type="pct"/>
            <w:vAlign w:val="center"/>
            <w:hideMark/>
          </w:tcPr>
          <w:p w14:paraId="71CFC2EE" w14:textId="77777777" w:rsidR="00E4567F" w:rsidRPr="00E4567F" w:rsidRDefault="00FA1C1A" w:rsidP="00E4567F">
            <w:pPr>
              <w:rPr>
                <w:rFonts w:eastAsia="Times New Roman" w:cs="Arial"/>
                <w:sz w:val="16"/>
                <w:szCs w:val="16"/>
                <w:lang w:eastAsia="en-ZA"/>
              </w:rPr>
            </w:pPr>
            <w:hyperlink r:id="rId77" w:history="1">
              <w:r w:rsidR="00E4567F" w:rsidRPr="00E4567F">
                <w:rPr>
                  <w:rFonts w:eastAsia="Times New Roman" w:cs="Arial"/>
                  <w:color w:val="0000FF"/>
                  <w:sz w:val="16"/>
                  <w:szCs w:val="16"/>
                  <w:u w:val="single"/>
                  <w:lang w:eastAsia="en-ZA"/>
                </w:rPr>
                <w:t>Germany</w:t>
              </w:r>
            </w:hyperlink>
          </w:p>
        </w:tc>
        <w:tc>
          <w:tcPr>
            <w:tcW w:w="378" w:type="pct"/>
            <w:vAlign w:val="center"/>
            <w:hideMark/>
          </w:tcPr>
          <w:p w14:paraId="4A762B1B"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4,536.52</w:t>
            </w:r>
          </w:p>
        </w:tc>
        <w:tc>
          <w:tcPr>
            <w:tcW w:w="226" w:type="pct"/>
            <w:vAlign w:val="center"/>
            <w:hideMark/>
          </w:tcPr>
          <w:p w14:paraId="32609462"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5</w:t>
            </w:r>
          </w:p>
        </w:tc>
        <w:tc>
          <w:tcPr>
            <w:tcW w:w="378" w:type="pct"/>
            <w:vAlign w:val="center"/>
            <w:hideMark/>
          </w:tcPr>
          <w:p w14:paraId="3E294AD2"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4,843.39</w:t>
            </w:r>
          </w:p>
        </w:tc>
        <w:tc>
          <w:tcPr>
            <w:tcW w:w="226" w:type="pct"/>
            <w:vAlign w:val="center"/>
            <w:hideMark/>
          </w:tcPr>
          <w:p w14:paraId="51281E40"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5</w:t>
            </w:r>
          </w:p>
        </w:tc>
        <w:tc>
          <w:tcPr>
            <w:tcW w:w="317" w:type="pct"/>
            <w:vAlign w:val="center"/>
            <w:hideMark/>
          </w:tcPr>
          <w:p w14:paraId="0B1D4D6D"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3.35 %</w:t>
            </w:r>
          </w:p>
        </w:tc>
        <w:tc>
          <w:tcPr>
            <w:tcW w:w="263" w:type="pct"/>
            <w:vAlign w:val="center"/>
            <w:hideMark/>
          </w:tcPr>
          <w:p w14:paraId="7E300FB5"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790</w:t>
            </w:r>
          </w:p>
        </w:tc>
        <w:tc>
          <w:tcPr>
            <w:tcW w:w="378" w:type="pct"/>
            <w:vAlign w:val="center"/>
            <w:hideMark/>
          </w:tcPr>
          <w:p w14:paraId="14D78D0A"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3.05</w:t>
            </w:r>
          </w:p>
        </w:tc>
        <w:tc>
          <w:tcPr>
            <w:tcW w:w="543" w:type="pct"/>
            <w:vAlign w:val="center"/>
            <w:hideMark/>
          </w:tcPr>
          <w:p w14:paraId="2C4A7CE5"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58,150</w:t>
            </w:r>
          </w:p>
        </w:tc>
        <w:tc>
          <w:tcPr>
            <w:tcW w:w="612" w:type="pct"/>
            <w:vAlign w:val="center"/>
            <w:hideMark/>
          </w:tcPr>
          <w:p w14:paraId="40A622E0"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18</w:t>
            </w:r>
          </w:p>
        </w:tc>
        <w:tc>
          <w:tcPr>
            <w:tcW w:w="570" w:type="pct"/>
            <w:vAlign w:val="center"/>
            <w:hideMark/>
          </w:tcPr>
          <w:p w14:paraId="4094C25E"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Europe</w:t>
            </w:r>
          </w:p>
        </w:tc>
      </w:tr>
      <w:tr w:rsidR="00E4567F" w:rsidRPr="00E4567F" w14:paraId="41FFA085" w14:textId="77777777" w:rsidTr="00E4567F">
        <w:trPr>
          <w:tblCellSpacing w:w="15" w:type="dxa"/>
        </w:trPr>
        <w:tc>
          <w:tcPr>
            <w:tcW w:w="982" w:type="pct"/>
            <w:vAlign w:val="center"/>
            <w:hideMark/>
          </w:tcPr>
          <w:p w14:paraId="38D24837" w14:textId="77777777" w:rsidR="00E4567F" w:rsidRPr="00E4567F" w:rsidRDefault="00FA1C1A" w:rsidP="00E4567F">
            <w:pPr>
              <w:rPr>
                <w:rFonts w:eastAsia="Times New Roman" w:cs="Arial"/>
                <w:sz w:val="16"/>
                <w:szCs w:val="16"/>
                <w:lang w:eastAsia="en-ZA"/>
              </w:rPr>
            </w:pPr>
            <w:hyperlink r:id="rId78" w:history="1">
              <w:r w:rsidR="00E4567F" w:rsidRPr="00E4567F">
                <w:rPr>
                  <w:rFonts w:eastAsia="Times New Roman" w:cs="Arial"/>
                  <w:color w:val="0000FF"/>
                  <w:sz w:val="16"/>
                  <w:szCs w:val="16"/>
                  <w:u w:val="single"/>
                  <w:lang w:eastAsia="en-ZA"/>
                </w:rPr>
                <w:t>Russia</w:t>
              </w:r>
            </w:hyperlink>
          </w:p>
        </w:tc>
        <w:tc>
          <w:tcPr>
            <w:tcW w:w="378" w:type="pct"/>
            <w:vAlign w:val="center"/>
            <w:hideMark/>
          </w:tcPr>
          <w:p w14:paraId="762925F7"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4,100.48</w:t>
            </w:r>
          </w:p>
        </w:tc>
        <w:tc>
          <w:tcPr>
            <w:tcW w:w="226" w:type="pct"/>
            <w:vAlign w:val="center"/>
            <w:hideMark/>
          </w:tcPr>
          <w:p w14:paraId="23A27995"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6</w:t>
            </w:r>
          </w:p>
        </w:tc>
        <w:tc>
          <w:tcPr>
            <w:tcW w:w="378" w:type="pct"/>
            <w:vAlign w:val="center"/>
            <w:hideMark/>
          </w:tcPr>
          <w:p w14:paraId="2B1EFE8E"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4,447.48</w:t>
            </w:r>
          </w:p>
        </w:tc>
        <w:tc>
          <w:tcPr>
            <w:tcW w:w="226" w:type="pct"/>
            <w:vAlign w:val="center"/>
            <w:hideMark/>
          </w:tcPr>
          <w:p w14:paraId="5F18549E"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6</w:t>
            </w:r>
          </w:p>
        </w:tc>
        <w:tc>
          <w:tcPr>
            <w:tcW w:w="317" w:type="pct"/>
            <w:vAlign w:val="center"/>
            <w:hideMark/>
          </w:tcPr>
          <w:p w14:paraId="437312BB"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3.07 %</w:t>
            </w:r>
          </w:p>
        </w:tc>
        <w:tc>
          <w:tcPr>
            <w:tcW w:w="263" w:type="pct"/>
            <w:vAlign w:val="center"/>
            <w:hideMark/>
          </w:tcPr>
          <w:p w14:paraId="30A267E7"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396</w:t>
            </w:r>
          </w:p>
        </w:tc>
        <w:tc>
          <w:tcPr>
            <w:tcW w:w="378" w:type="pct"/>
            <w:vAlign w:val="center"/>
            <w:hideMark/>
          </w:tcPr>
          <w:p w14:paraId="6178C5D5"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4.69</w:t>
            </w:r>
          </w:p>
        </w:tc>
        <w:tc>
          <w:tcPr>
            <w:tcW w:w="543" w:type="pct"/>
            <w:vAlign w:val="center"/>
            <w:hideMark/>
          </w:tcPr>
          <w:p w14:paraId="714A7011"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30,431</w:t>
            </w:r>
          </w:p>
        </w:tc>
        <w:tc>
          <w:tcPr>
            <w:tcW w:w="612" w:type="pct"/>
            <w:vAlign w:val="center"/>
            <w:hideMark/>
          </w:tcPr>
          <w:p w14:paraId="4FBA2766"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56</w:t>
            </w:r>
          </w:p>
        </w:tc>
        <w:tc>
          <w:tcPr>
            <w:tcW w:w="570" w:type="pct"/>
            <w:vAlign w:val="center"/>
            <w:hideMark/>
          </w:tcPr>
          <w:p w14:paraId="33864B33"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Europe</w:t>
            </w:r>
          </w:p>
        </w:tc>
      </w:tr>
      <w:tr w:rsidR="00E4567F" w:rsidRPr="00E4567F" w14:paraId="5D55B763" w14:textId="77777777" w:rsidTr="00E4567F">
        <w:trPr>
          <w:tblCellSpacing w:w="15" w:type="dxa"/>
        </w:trPr>
        <w:tc>
          <w:tcPr>
            <w:tcW w:w="982" w:type="pct"/>
            <w:vAlign w:val="center"/>
            <w:hideMark/>
          </w:tcPr>
          <w:p w14:paraId="06BDE29D" w14:textId="77777777" w:rsidR="00E4567F" w:rsidRPr="00E4567F" w:rsidRDefault="00FA1C1A" w:rsidP="00E4567F">
            <w:pPr>
              <w:rPr>
                <w:rFonts w:eastAsia="Times New Roman" w:cs="Arial"/>
                <w:sz w:val="16"/>
                <w:szCs w:val="16"/>
                <w:lang w:eastAsia="en-ZA"/>
              </w:rPr>
            </w:pPr>
            <w:hyperlink r:id="rId79" w:history="1">
              <w:r w:rsidR="00E4567F" w:rsidRPr="00E4567F">
                <w:rPr>
                  <w:rFonts w:eastAsia="Times New Roman" w:cs="Arial"/>
                  <w:color w:val="0000FF"/>
                  <w:sz w:val="16"/>
                  <w:szCs w:val="16"/>
                  <w:u w:val="single"/>
                  <w:lang w:eastAsia="en-ZA"/>
                </w:rPr>
                <w:t>Indonesia</w:t>
              </w:r>
            </w:hyperlink>
          </w:p>
        </w:tc>
        <w:tc>
          <w:tcPr>
            <w:tcW w:w="378" w:type="pct"/>
            <w:vAlign w:val="center"/>
            <w:hideMark/>
          </w:tcPr>
          <w:p w14:paraId="3DAB61C6"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3,301.91</w:t>
            </w:r>
          </w:p>
        </w:tc>
        <w:tc>
          <w:tcPr>
            <w:tcW w:w="226" w:type="pct"/>
            <w:vAlign w:val="center"/>
            <w:hideMark/>
          </w:tcPr>
          <w:p w14:paraId="72D2C05E"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7</w:t>
            </w:r>
          </w:p>
        </w:tc>
        <w:tc>
          <w:tcPr>
            <w:tcW w:w="378" w:type="pct"/>
            <w:vAlign w:val="center"/>
            <w:hideMark/>
          </w:tcPr>
          <w:p w14:paraId="1A2AD561"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3,530.33</w:t>
            </w:r>
          </w:p>
        </w:tc>
        <w:tc>
          <w:tcPr>
            <w:tcW w:w="226" w:type="pct"/>
            <w:vAlign w:val="center"/>
            <w:hideMark/>
          </w:tcPr>
          <w:p w14:paraId="7848AE32"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7</w:t>
            </w:r>
          </w:p>
        </w:tc>
        <w:tc>
          <w:tcPr>
            <w:tcW w:w="317" w:type="pct"/>
            <w:vAlign w:val="center"/>
            <w:hideMark/>
          </w:tcPr>
          <w:p w14:paraId="174FAAB4"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2.44 %</w:t>
            </w:r>
          </w:p>
        </w:tc>
        <w:tc>
          <w:tcPr>
            <w:tcW w:w="263" w:type="pct"/>
            <w:vAlign w:val="center"/>
            <w:hideMark/>
          </w:tcPr>
          <w:p w14:paraId="66547CA7"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917</w:t>
            </w:r>
          </w:p>
        </w:tc>
        <w:tc>
          <w:tcPr>
            <w:tcW w:w="378" w:type="pct"/>
            <w:vAlign w:val="center"/>
            <w:hideMark/>
          </w:tcPr>
          <w:p w14:paraId="523EF486"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3.20</w:t>
            </w:r>
          </w:p>
        </w:tc>
        <w:tc>
          <w:tcPr>
            <w:tcW w:w="543" w:type="pct"/>
            <w:vAlign w:val="center"/>
            <w:hideMark/>
          </w:tcPr>
          <w:p w14:paraId="54379B0F"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12,967</w:t>
            </w:r>
          </w:p>
        </w:tc>
        <w:tc>
          <w:tcPr>
            <w:tcW w:w="612" w:type="pct"/>
            <w:vAlign w:val="center"/>
            <w:hideMark/>
          </w:tcPr>
          <w:p w14:paraId="74447B3E"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103</w:t>
            </w:r>
          </w:p>
        </w:tc>
        <w:tc>
          <w:tcPr>
            <w:tcW w:w="570" w:type="pct"/>
            <w:vAlign w:val="center"/>
            <w:hideMark/>
          </w:tcPr>
          <w:p w14:paraId="0238EFD7"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Asia</w:t>
            </w:r>
          </w:p>
        </w:tc>
      </w:tr>
      <w:tr w:rsidR="00E4567F" w:rsidRPr="00E4567F" w14:paraId="5BAAF704" w14:textId="77777777" w:rsidTr="00E4567F">
        <w:trPr>
          <w:tblCellSpacing w:w="15" w:type="dxa"/>
        </w:trPr>
        <w:tc>
          <w:tcPr>
            <w:tcW w:w="982" w:type="pct"/>
            <w:vAlign w:val="center"/>
            <w:hideMark/>
          </w:tcPr>
          <w:p w14:paraId="3C693838" w14:textId="77777777" w:rsidR="00E4567F" w:rsidRPr="00E4567F" w:rsidRDefault="00FA1C1A" w:rsidP="00E4567F">
            <w:pPr>
              <w:rPr>
                <w:rFonts w:eastAsia="Times New Roman" w:cs="Arial"/>
                <w:sz w:val="16"/>
                <w:szCs w:val="16"/>
                <w:lang w:eastAsia="en-ZA"/>
              </w:rPr>
            </w:pPr>
            <w:hyperlink r:id="rId80" w:history="1">
              <w:r w:rsidR="00E4567F" w:rsidRPr="00E4567F">
                <w:rPr>
                  <w:rFonts w:eastAsia="Times New Roman" w:cs="Arial"/>
                  <w:color w:val="0000FF"/>
                  <w:sz w:val="16"/>
                  <w:szCs w:val="16"/>
                  <w:u w:val="single"/>
                  <w:lang w:eastAsia="en-ZA"/>
                </w:rPr>
                <w:t>Brazil</w:t>
              </w:r>
            </w:hyperlink>
          </w:p>
        </w:tc>
        <w:tc>
          <w:tcPr>
            <w:tcW w:w="378" w:type="pct"/>
            <w:vAlign w:val="center"/>
            <w:hideMark/>
          </w:tcPr>
          <w:p w14:paraId="2B9E925D"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3,153.15</w:t>
            </w:r>
          </w:p>
        </w:tc>
        <w:tc>
          <w:tcPr>
            <w:tcW w:w="226" w:type="pct"/>
            <w:vAlign w:val="center"/>
            <w:hideMark/>
          </w:tcPr>
          <w:p w14:paraId="7D61C157"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8</w:t>
            </w:r>
          </w:p>
        </w:tc>
        <w:tc>
          <w:tcPr>
            <w:tcW w:w="378" w:type="pct"/>
            <w:vAlign w:val="center"/>
            <w:hideMark/>
          </w:tcPr>
          <w:p w14:paraId="2A43125B"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3,437.61</w:t>
            </w:r>
          </w:p>
        </w:tc>
        <w:tc>
          <w:tcPr>
            <w:tcW w:w="226" w:type="pct"/>
            <w:vAlign w:val="center"/>
            <w:hideMark/>
          </w:tcPr>
          <w:p w14:paraId="6A23E853"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8</w:t>
            </w:r>
          </w:p>
        </w:tc>
        <w:tc>
          <w:tcPr>
            <w:tcW w:w="317" w:type="pct"/>
            <w:vAlign w:val="center"/>
            <w:hideMark/>
          </w:tcPr>
          <w:p w14:paraId="7E94ABFD"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2.38 %</w:t>
            </w:r>
          </w:p>
        </w:tc>
        <w:tc>
          <w:tcPr>
            <w:tcW w:w="263" w:type="pct"/>
            <w:vAlign w:val="center"/>
            <w:hideMark/>
          </w:tcPr>
          <w:p w14:paraId="28970212"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92.7</w:t>
            </w:r>
          </w:p>
        </w:tc>
        <w:tc>
          <w:tcPr>
            <w:tcW w:w="378" w:type="pct"/>
            <w:vAlign w:val="center"/>
            <w:hideMark/>
          </w:tcPr>
          <w:p w14:paraId="44373B70"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5.23</w:t>
            </w:r>
          </w:p>
        </w:tc>
        <w:tc>
          <w:tcPr>
            <w:tcW w:w="543" w:type="pct"/>
            <w:vAlign w:val="center"/>
            <w:hideMark/>
          </w:tcPr>
          <w:p w14:paraId="15F01BCB"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16,169</w:t>
            </w:r>
          </w:p>
        </w:tc>
        <w:tc>
          <w:tcPr>
            <w:tcW w:w="612" w:type="pct"/>
            <w:vAlign w:val="center"/>
            <w:hideMark/>
          </w:tcPr>
          <w:p w14:paraId="376707FF"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86</w:t>
            </w:r>
          </w:p>
        </w:tc>
        <w:tc>
          <w:tcPr>
            <w:tcW w:w="570" w:type="pct"/>
            <w:vAlign w:val="center"/>
            <w:hideMark/>
          </w:tcPr>
          <w:p w14:paraId="06AAA5E5"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South America</w:t>
            </w:r>
          </w:p>
        </w:tc>
      </w:tr>
      <w:tr w:rsidR="00E4567F" w:rsidRPr="00E4567F" w14:paraId="61DA8850" w14:textId="77777777" w:rsidTr="00E4567F">
        <w:trPr>
          <w:tblCellSpacing w:w="15" w:type="dxa"/>
        </w:trPr>
        <w:tc>
          <w:tcPr>
            <w:tcW w:w="982" w:type="pct"/>
            <w:vAlign w:val="center"/>
            <w:hideMark/>
          </w:tcPr>
          <w:p w14:paraId="48D33077" w14:textId="77777777" w:rsidR="00E4567F" w:rsidRPr="00E4567F" w:rsidRDefault="00FA1C1A" w:rsidP="00E4567F">
            <w:pPr>
              <w:rPr>
                <w:rFonts w:eastAsia="Times New Roman" w:cs="Arial"/>
                <w:sz w:val="16"/>
                <w:szCs w:val="16"/>
                <w:lang w:eastAsia="en-ZA"/>
              </w:rPr>
            </w:pPr>
            <w:hyperlink r:id="rId81" w:history="1">
              <w:r w:rsidR="00E4567F" w:rsidRPr="00E4567F">
                <w:rPr>
                  <w:rFonts w:eastAsia="Times New Roman" w:cs="Arial"/>
                  <w:color w:val="0000FF"/>
                  <w:sz w:val="16"/>
                  <w:szCs w:val="16"/>
                  <w:u w:val="single"/>
                  <w:lang w:eastAsia="en-ZA"/>
                </w:rPr>
                <w:t>France</w:t>
              </w:r>
            </w:hyperlink>
          </w:p>
        </w:tc>
        <w:tc>
          <w:tcPr>
            <w:tcW w:w="378" w:type="pct"/>
            <w:vAlign w:val="center"/>
            <w:hideMark/>
          </w:tcPr>
          <w:p w14:paraId="68F7212A"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3,016.88</w:t>
            </w:r>
          </w:p>
        </w:tc>
        <w:tc>
          <w:tcPr>
            <w:tcW w:w="226" w:type="pct"/>
            <w:vAlign w:val="center"/>
            <w:hideMark/>
          </w:tcPr>
          <w:p w14:paraId="6BC04396"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9</w:t>
            </w:r>
          </w:p>
        </w:tc>
        <w:tc>
          <w:tcPr>
            <w:tcW w:w="378" w:type="pct"/>
            <w:vAlign w:val="center"/>
            <w:hideMark/>
          </w:tcPr>
          <w:p w14:paraId="49EDD0F2"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3,322.31</w:t>
            </w:r>
          </w:p>
        </w:tc>
        <w:tc>
          <w:tcPr>
            <w:tcW w:w="226" w:type="pct"/>
            <w:vAlign w:val="center"/>
            <w:hideMark/>
          </w:tcPr>
          <w:p w14:paraId="4375ACB4"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9</w:t>
            </w:r>
          </w:p>
        </w:tc>
        <w:tc>
          <w:tcPr>
            <w:tcW w:w="317" w:type="pct"/>
            <w:vAlign w:val="center"/>
            <w:hideMark/>
          </w:tcPr>
          <w:p w14:paraId="146F5899"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2.30 %</w:t>
            </w:r>
          </w:p>
        </w:tc>
        <w:tc>
          <w:tcPr>
            <w:tcW w:w="263" w:type="pct"/>
            <w:vAlign w:val="center"/>
            <w:hideMark/>
          </w:tcPr>
          <w:p w14:paraId="0EA6ABF1"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115</w:t>
            </w:r>
          </w:p>
        </w:tc>
        <w:tc>
          <w:tcPr>
            <w:tcW w:w="378" w:type="pct"/>
            <w:vAlign w:val="center"/>
            <w:hideMark/>
          </w:tcPr>
          <w:p w14:paraId="2B1F0588"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6.29</w:t>
            </w:r>
          </w:p>
        </w:tc>
        <w:tc>
          <w:tcPr>
            <w:tcW w:w="543" w:type="pct"/>
            <w:vAlign w:val="center"/>
            <w:hideMark/>
          </w:tcPr>
          <w:p w14:paraId="60240919"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50,876</w:t>
            </w:r>
          </w:p>
        </w:tc>
        <w:tc>
          <w:tcPr>
            <w:tcW w:w="612" w:type="pct"/>
            <w:vAlign w:val="center"/>
            <w:hideMark/>
          </w:tcPr>
          <w:p w14:paraId="617DE3FD"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26</w:t>
            </w:r>
          </w:p>
        </w:tc>
        <w:tc>
          <w:tcPr>
            <w:tcW w:w="570" w:type="pct"/>
            <w:vAlign w:val="center"/>
            <w:hideMark/>
          </w:tcPr>
          <w:p w14:paraId="35A04DEF"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Europe</w:t>
            </w:r>
          </w:p>
        </w:tc>
      </w:tr>
      <w:tr w:rsidR="00E4567F" w:rsidRPr="00E4567F" w14:paraId="671A890D" w14:textId="77777777" w:rsidTr="00E4567F">
        <w:trPr>
          <w:tblCellSpacing w:w="15" w:type="dxa"/>
        </w:trPr>
        <w:tc>
          <w:tcPr>
            <w:tcW w:w="982" w:type="pct"/>
            <w:vAlign w:val="center"/>
            <w:hideMark/>
          </w:tcPr>
          <w:p w14:paraId="17AC51A3" w14:textId="77777777" w:rsidR="00E4567F" w:rsidRPr="00E4567F" w:rsidRDefault="00FA1C1A" w:rsidP="00E4567F">
            <w:pPr>
              <w:rPr>
                <w:rFonts w:eastAsia="Times New Roman" w:cs="Arial"/>
                <w:sz w:val="16"/>
                <w:szCs w:val="16"/>
                <w:lang w:eastAsia="en-ZA"/>
              </w:rPr>
            </w:pPr>
            <w:hyperlink r:id="rId82" w:history="1">
              <w:r w:rsidR="00E4567F" w:rsidRPr="00E4567F">
                <w:rPr>
                  <w:rFonts w:eastAsia="Times New Roman" w:cs="Arial"/>
                  <w:color w:val="0000FF"/>
                  <w:sz w:val="16"/>
                  <w:szCs w:val="16"/>
                  <w:u w:val="single"/>
                  <w:lang w:eastAsia="en-ZA"/>
                </w:rPr>
                <w:t>United Kingdom</w:t>
              </w:r>
            </w:hyperlink>
          </w:p>
        </w:tc>
        <w:tc>
          <w:tcPr>
            <w:tcW w:w="378" w:type="pct"/>
            <w:vAlign w:val="center"/>
            <w:hideMark/>
          </w:tcPr>
          <w:p w14:paraId="48C49542"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2,961.89</w:t>
            </w:r>
          </w:p>
        </w:tc>
        <w:tc>
          <w:tcPr>
            <w:tcW w:w="226" w:type="pct"/>
            <w:vAlign w:val="center"/>
            <w:hideMark/>
          </w:tcPr>
          <w:p w14:paraId="389EE3E9"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10</w:t>
            </w:r>
          </w:p>
        </w:tc>
        <w:tc>
          <w:tcPr>
            <w:tcW w:w="378" w:type="pct"/>
            <w:vAlign w:val="center"/>
            <w:hideMark/>
          </w:tcPr>
          <w:p w14:paraId="429A40CE"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3,276.14</w:t>
            </w:r>
          </w:p>
        </w:tc>
        <w:tc>
          <w:tcPr>
            <w:tcW w:w="226" w:type="pct"/>
            <w:vAlign w:val="center"/>
            <w:hideMark/>
          </w:tcPr>
          <w:p w14:paraId="32B4EC8A"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10</w:t>
            </w:r>
          </w:p>
        </w:tc>
        <w:tc>
          <w:tcPr>
            <w:tcW w:w="317" w:type="pct"/>
            <w:vAlign w:val="center"/>
            <w:hideMark/>
          </w:tcPr>
          <w:p w14:paraId="61E32B78"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2.27 %</w:t>
            </w:r>
          </w:p>
        </w:tc>
        <w:tc>
          <w:tcPr>
            <w:tcW w:w="263" w:type="pct"/>
            <w:vAlign w:val="center"/>
            <w:hideMark/>
          </w:tcPr>
          <w:p w14:paraId="6307836B"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46.2</w:t>
            </w:r>
          </w:p>
        </w:tc>
        <w:tc>
          <w:tcPr>
            <w:tcW w:w="378" w:type="pct"/>
            <w:vAlign w:val="center"/>
            <w:hideMark/>
          </w:tcPr>
          <w:p w14:paraId="32497E22"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6.76</w:t>
            </w:r>
          </w:p>
        </w:tc>
        <w:tc>
          <w:tcPr>
            <w:tcW w:w="543" w:type="pct"/>
            <w:vAlign w:val="center"/>
            <w:hideMark/>
          </w:tcPr>
          <w:p w14:paraId="4878A529"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48,693</w:t>
            </w:r>
          </w:p>
        </w:tc>
        <w:tc>
          <w:tcPr>
            <w:tcW w:w="612" w:type="pct"/>
            <w:vAlign w:val="center"/>
            <w:hideMark/>
          </w:tcPr>
          <w:p w14:paraId="5764E252"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28</w:t>
            </w:r>
          </w:p>
        </w:tc>
        <w:tc>
          <w:tcPr>
            <w:tcW w:w="570" w:type="pct"/>
            <w:vAlign w:val="center"/>
            <w:hideMark/>
          </w:tcPr>
          <w:p w14:paraId="544B481E"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Europe</w:t>
            </w:r>
          </w:p>
        </w:tc>
      </w:tr>
      <w:tr w:rsidR="00E4567F" w:rsidRPr="00E4567F" w14:paraId="4F3F8C4D" w14:textId="77777777" w:rsidTr="00E4567F">
        <w:trPr>
          <w:tblCellSpacing w:w="15" w:type="dxa"/>
        </w:trPr>
        <w:tc>
          <w:tcPr>
            <w:tcW w:w="982" w:type="pct"/>
            <w:vAlign w:val="center"/>
            <w:hideMark/>
          </w:tcPr>
          <w:p w14:paraId="0008B5FB" w14:textId="77777777" w:rsidR="00E4567F" w:rsidRPr="00E4567F" w:rsidRDefault="00FA1C1A" w:rsidP="00E4567F">
            <w:pPr>
              <w:rPr>
                <w:rFonts w:eastAsia="Times New Roman" w:cs="Arial"/>
                <w:sz w:val="16"/>
                <w:szCs w:val="16"/>
                <w:lang w:eastAsia="en-ZA"/>
              </w:rPr>
            </w:pPr>
            <w:hyperlink r:id="rId83" w:history="1">
              <w:r w:rsidR="00E4567F" w:rsidRPr="00E4567F">
                <w:rPr>
                  <w:rFonts w:eastAsia="Times New Roman" w:cs="Arial"/>
                  <w:color w:val="0000FF"/>
                  <w:sz w:val="16"/>
                  <w:szCs w:val="16"/>
                  <w:u w:val="single"/>
                  <w:lang w:eastAsia="en-ZA"/>
                </w:rPr>
                <w:t>Turkey</w:t>
              </w:r>
            </w:hyperlink>
          </w:p>
        </w:tc>
        <w:tc>
          <w:tcPr>
            <w:tcW w:w="378" w:type="pct"/>
            <w:vAlign w:val="center"/>
            <w:hideMark/>
          </w:tcPr>
          <w:p w14:paraId="693A1421"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2,545.94</w:t>
            </w:r>
          </w:p>
        </w:tc>
        <w:tc>
          <w:tcPr>
            <w:tcW w:w="226" w:type="pct"/>
            <w:vAlign w:val="center"/>
            <w:hideMark/>
          </w:tcPr>
          <w:p w14:paraId="74232DCC"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11</w:t>
            </w:r>
          </w:p>
        </w:tc>
        <w:tc>
          <w:tcPr>
            <w:tcW w:w="378" w:type="pct"/>
            <w:vAlign w:val="center"/>
            <w:hideMark/>
          </w:tcPr>
          <w:p w14:paraId="04A0E399"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2,873.84</w:t>
            </w:r>
          </w:p>
        </w:tc>
        <w:tc>
          <w:tcPr>
            <w:tcW w:w="226" w:type="pct"/>
            <w:vAlign w:val="center"/>
            <w:hideMark/>
          </w:tcPr>
          <w:p w14:paraId="2B481B0E"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11</w:t>
            </w:r>
          </w:p>
        </w:tc>
        <w:tc>
          <w:tcPr>
            <w:tcW w:w="317" w:type="pct"/>
            <w:vAlign w:val="center"/>
            <w:hideMark/>
          </w:tcPr>
          <w:p w14:paraId="0842C3F4"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1.99 %</w:t>
            </w:r>
          </w:p>
        </w:tc>
        <w:tc>
          <w:tcPr>
            <w:tcW w:w="263" w:type="pct"/>
            <w:vAlign w:val="center"/>
            <w:hideMark/>
          </w:tcPr>
          <w:p w14:paraId="04640F48"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402</w:t>
            </w:r>
          </w:p>
        </w:tc>
        <w:tc>
          <w:tcPr>
            <w:tcW w:w="378" w:type="pct"/>
            <w:vAlign w:val="center"/>
            <w:hideMark/>
          </w:tcPr>
          <w:p w14:paraId="0DAAF402"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8.95</w:t>
            </w:r>
          </w:p>
        </w:tc>
        <w:tc>
          <w:tcPr>
            <w:tcW w:w="543" w:type="pct"/>
            <w:vAlign w:val="center"/>
            <w:hideMark/>
          </w:tcPr>
          <w:p w14:paraId="725FA2B3"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33,963</w:t>
            </w:r>
          </w:p>
        </w:tc>
        <w:tc>
          <w:tcPr>
            <w:tcW w:w="612" w:type="pct"/>
            <w:vAlign w:val="center"/>
            <w:hideMark/>
          </w:tcPr>
          <w:p w14:paraId="59F1B326"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50</w:t>
            </w:r>
          </w:p>
        </w:tc>
        <w:tc>
          <w:tcPr>
            <w:tcW w:w="570" w:type="pct"/>
            <w:vAlign w:val="center"/>
            <w:hideMark/>
          </w:tcPr>
          <w:p w14:paraId="2872980A"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Europe</w:t>
            </w:r>
          </w:p>
        </w:tc>
      </w:tr>
      <w:tr w:rsidR="00E4567F" w:rsidRPr="00E4567F" w14:paraId="6BF547A8" w14:textId="77777777" w:rsidTr="00E4567F">
        <w:trPr>
          <w:tblCellSpacing w:w="15" w:type="dxa"/>
        </w:trPr>
        <w:tc>
          <w:tcPr>
            <w:tcW w:w="982" w:type="pct"/>
            <w:vAlign w:val="center"/>
            <w:hideMark/>
          </w:tcPr>
          <w:p w14:paraId="53F6498D" w14:textId="77777777" w:rsidR="00E4567F" w:rsidRPr="00E4567F" w:rsidRDefault="00FA1C1A" w:rsidP="00E4567F">
            <w:pPr>
              <w:rPr>
                <w:rFonts w:eastAsia="Times New Roman" w:cs="Arial"/>
                <w:sz w:val="16"/>
                <w:szCs w:val="16"/>
                <w:lang w:eastAsia="en-ZA"/>
              </w:rPr>
            </w:pPr>
            <w:hyperlink r:id="rId84" w:history="1">
              <w:r w:rsidR="00E4567F" w:rsidRPr="00E4567F">
                <w:rPr>
                  <w:rFonts w:eastAsia="Times New Roman" w:cs="Arial"/>
                  <w:color w:val="0000FF"/>
                  <w:sz w:val="16"/>
                  <w:szCs w:val="16"/>
                  <w:u w:val="single"/>
                  <w:lang w:eastAsia="en-ZA"/>
                </w:rPr>
                <w:t>Italy</w:t>
              </w:r>
            </w:hyperlink>
          </w:p>
        </w:tc>
        <w:tc>
          <w:tcPr>
            <w:tcW w:w="378" w:type="pct"/>
            <w:vAlign w:val="center"/>
            <w:hideMark/>
          </w:tcPr>
          <w:p w14:paraId="2A708F6C"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2,461.30</w:t>
            </w:r>
          </w:p>
        </w:tc>
        <w:tc>
          <w:tcPr>
            <w:tcW w:w="226" w:type="pct"/>
            <w:vAlign w:val="center"/>
            <w:hideMark/>
          </w:tcPr>
          <w:p w14:paraId="3B3AFCF9"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12</w:t>
            </w:r>
          </w:p>
        </w:tc>
        <w:tc>
          <w:tcPr>
            <w:tcW w:w="378" w:type="pct"/>
            <w:vAlign w:val="center"/>
            <w:hideMark/>
          </w:tcPr>
          <w:p w14:paraId="6107B505"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2,697.14</w:t>
            </w:r>
          </w:p>
        </w:tc>
        <w:tc>
          <w:tcPr>
            <w:tcW w:w="226" w:type="pct"/>
            <w:vAlign w:val="center"/>
            <w:hideMark/>
          </w:tcPr>
          <w:p w14:paraId="7FB8757A"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12</w:t>
            </w:r>
          </w:p>
        </w:tc>
        <w:tc>
          <w:tcPr>
            <w:tcW w:w="317" w:type="pct"/>
            <w:vAlign w:val="center"/>
            <w:hideMark/>
          </w:tcPr>
          <w:p w14:paraId="627FC267"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1.86 %</w:t>
            </w:r>
          </w:p>
        </w:tc>
        <w:tc>
          <w:tcPr>
            <w:tcW w:w="263" w:type="pct"/>
            <w:vAlign w:val="center"/>
            <w:hideMark/>
          </w:tcPr>
          <w:p w14:paraId="5A51D7A3"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177</w:t>
            </w:r>
          </w:p>
        </w:tc>
        <w:tc>
          <w:tcPr>
            <w:tcW w:w="378" w:type="pct"/>
            <w:vAlign w:val="center"/>
            <w:hideMark/>
          </w:tcPr>
          <w:p w14:paraId="10CA697A"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5.77</w:t>
            </w:r>
          </w:p>
        </w:tc>
        <w:tc>
          <w:tcPr>
            <w:tcW w:w="543" w:type="pct"/>
            <w:vAlign w:val="center"/>
            <w:hideMark/>
          </w:tcPr>
          <w:p w14:paraId="403D17F4"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45,267</w:t>
            </w:r>
          </w:p>
        </w:tc>
        <w:tc>
          <w:tcPr>
            <w:tcW w:w="612" w:type="pct"/>
            <w:vAlign w:val="center"/>
            <w:hideMark/>
          </w:tcPr>
          <w:p w14:paraId="02CCD30C"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32</w:t>
            </w:r>
          </w:p>
        </w:tc>
        <w:tc>
          <w:tcPr>
            <w:tcW w:w="570" w:type="pct"/>
            <w:vAlign w:val="center"/>
            <w:hideMark/>
          </w:tcPr>
          <w:p w14:paraId="06C919F4"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Europe</w:t>
            </w:r>
          </w:p>
        </w:tc>
      </w:tr>
      <w:tr w:rsidR="00E4567F" w:rsidRPr="00E4567F" w14:paraId="0B84E49D" w14:textId="77777777" w:rsidTr="00E4567F">
        <w:trPr>
          <w:tblCellSpacing w:w="15" w:type="dxa"/>
        </w:trPr>
        <w:tc>
          <w:tcPr>
            <w:tcW w:w="982" w:type="pct"/>
            <w:vAlign w:val="center"/>
            <w:hideMark/>
          </w:tcPr>
          <w:p w14:paraId="3BCAFAB3" w14:textId="77777777" w:rsidR="00E4567F" w:rsidRPr="00E4567F" w:rsidRDefault="00FA1C1A" w:rsidP="00E4567F">
            <w:pPr>
              <w:rPr>
                <w:rFonts w:eastAsia="Times New Roman" w:cs="Arial"/>
                <w:sz w:val="16"/>
                <w:szCs w:val="16"/>
                <w:lang w:eastAsia="en-ZA"/>
              </w:rPr>
            </w:pPr>
            <w:hyperlink r:id="rId85" w:history="1">
              <w:r w:rsidR="00E4567F" w:rsidRPr="00E4567F">
                <w:rPr>
                  <w:rFonts w:eastAsia="Times New Roman" w:cs="Arial"/>
                  <w:color w:val="0000FF"/>
                  <w:sz w:val="16"/>
                  <w:szCs w:val="16"/>
                  <w:u w:val="single"/>
                  <w:lang w:eastAsia="en-ZA"/>
                </w:rPr>
                <w:t>Mexico</w:t>
              </w:r>
            </w:hyperlink>
          </w:p>
        </w:tc>
        <w:tc>
          <w:tcPr>
            <w:tcW w:w="378" w:type="pct"/>
            <w:vAlign w:val="center"/>
            <w:hideMark/>
          </w:tcPr>
          <w:p w14:paraId="75006756"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2,439.47</w:t>
            </w:r>
          </w:p>
        </w:tc>
        <w:tc>
          <w:tcPr>
            <w:tcW w:w="226" w:type="pct"/>
            <w:vAlign w:val="center"/>
            <w:hideMark/>
          </w:tcPr>
          <w:p w14:paraId="2B8944EE"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13</w:t>
            </w:r>
          </w:p>
        </w:tc>
        <w:tc>
          <w:tcPr>
            <w:tcW w:w="378" w:type="pct"/>
            <w:vAlign w:val="center"/>
            <w:hideMark/>
          </w:tcPr>
          <w:p w14:paraId="4C262D83"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2,685.25</w:t>
            </w:r>
          </w:p>
        </w:tc>
        <w:tc>
          <w:tcPr>
            <w:tcW w:w="226" w:type="pct"/>
            <w:vAlign w:val="center"/>
            <w:hideMark/>
          </w:tcPr>
          <w:p w14:paraId="6FACC644"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13</w:t>
            </w:r>
          </w:p>
        </w:tc>
        <w:tc>
          <w:tcPr>
            <w:tcW w:w="317" w:type="pct"/>
            <w:vAlign w:val="center"/>
            <w:hideMark/>
          </w:tcPr>
          <w:p w14:paraId="523F0A13"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1.86 %</w:t>
            </w:r>
          </w:p>
        </w:tc>
        <w:tc>
          <w:tcPr>
            <w:tcW w:w="263" w:type="pct"/>
            <w:vAlign w:val="center"/>
            <w:hideMark/>
          </w:tcPr>
          <w:p w14:paraId="57725FFB"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11.9</w:t>
            </w:r>
          </w:p>
        </w:tc>
        <w:tc>
          <w:tcPr>
            <w:tcW w:w="378" w:type="pct"/>
            <w:vAlign w:val="center"/>
            <w:hideMark/>
          </w:tcPr>
          <w:p w14:paraId="59D8FB4C"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6.25</w:t>
            </w:r>
          </w:p>
        </w:tc>
        <w:tc>
          <w:tcPr>
            <w:tcW w:w="543" w:type="pct"/>
            <w:vAlign w:val="center"/>
            <w:hideMark/>
          </w:tcPr>
          <w:p w14:paraId="742D67A6"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20,820</w:t>
            </w:r>
          </w:p>
        </w:tc>
        <w:tc>
          <w:tcPr>
            <w:tcW w:w="612" w:type="pct"/>
            <w:vAlign w:val="center"/>
            <w:hideMark/>
          </w:tcPr>
          <w:p w14:paraId="0CEE51BB"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74</w:t>
            </w:r>
          </w:p>
        </w:tc>
        <w:tc>
          <w:tcPr>
            <w:tcW w:w="570" w:type="pct"/>
            <w:vAlign w:val="center"/>
            <w:hideMark/>
          </w:tcPr>
          <w:p w14:paraId="2DC22151"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North America</w:t>
            </w:r>
          </w:p>
        </w:tc>
      </w:tr>
      <w:tr w:rsidR="00E4567F" w:rsidRPr="00E4567F" w14:paraId="19409AE1" w14:textId="77777777" w:rsidTr="00E4567F">
        <w:trPr>
          <w:tblCellSpacing w:w="15" w:type="dxa"/>
        </w:trPr>
        <w:tc>
          <w:tcPr>
            <w:tcW w:w="982" w:type="pct"/>
            <w:vAlign w:val="center"/>
            <w:hideMark/>
          </w:tcPr>
          <w:p w14:paraId="044319C1" w14:textId="77777777" w:rsidR="00E4567F" w:rsidRPr="00E4567F" w:rsidRDefault="00FA1C1A" w:rsidP="00E4567F">
            <w:pPr>
              <w:rPr>
                <w:rFonts w:eastAsia="Times New Roman" w:cs="Arial"/>
                <w:sz w:val="16"/>
                <w:szCs w:val="16"/>
                <w:lang w:eastAsia="en-ZA"/>
              </w:rPr>
            </w:pPr>
            <w:hyperlink r:id="rId86" w:history="1">
              <w:r w:rsidR="00E4567F" w:rsidRPr="00E4567F">
                <w:rPr>
                  <w:rFonts w:eastAsia="Times New Roman" w:cs="Arial"/>
                  <w:color w:val="0000FF"/>
                  <w:sz w:val="16"/>
                  <w:szCs w:val="16"/>
                  <w:u w:val="single"/>
                  <w:lang w:eastAsia="en-ZA"/>
                </w:rPr>
                <w:t>Korea</w:t>
              </w:r>
            </w:hyperlink>
          </w:p>
        </w:tc>
        <w:tc>
          <w:tcPr>
            <w:tcW w:w="378" w:type="pct"/>
            <w:vAlign w:val="center"/>
            <w:hideMark/>
          </w:tcPr>
          <w:p w14:paraId="1D3FB5DE"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2,317.18</w:t>
            </w:r>
          </w:p>
        </w:tc>
        <w:tc>
          <w:tcPr>
            <w:tcW w:w="226" w:type="pct"/>
            <w:vAlign w:val="center"/>
            <w:hideMark/>
          </w:tcPr>
          <w:p w14:paraId="3030B454"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14</w:t>
            </w:r>
          </w:p>
        </w:tc>
        <w:tc>
          <w:tcPr>
            <w:tcW w:w="378" w:type="pct"/>
            <w:vAlign w:val="center"/>
            <w:hideMark/>
          </w:tcPr>
          <w:p w14:paraId="5782DA93"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2,503.40</w:t>
            </w:r>
          </w:p>
        </w:tc>
        <w:tc>
          <w:tcPr>
            <w:tcW w:w="226" w:type="pct"/>
            <w:vAlign w:val="center"/>
            <w:hideMark/>
          </w:tcPr>
          <w:p w14:paraId="52080DFF"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14</w:t>
            </w:r>
          </w:p>
        </w:tc>
        <w:tc>
          <w:tcPr>
            <w:tcW w:w="317" w:type="pct"/>
            <w:vAlign w:val="center"/>
            <w:hideMark/>
          </w:tcPr>
          <w:p w14:paraId="1A0DCC40"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1.73 %</w:t>
            </w:r>
          </w:p>
        </w:tc>
        <w:tc>
          <w:tcPr>
            <w:tcW w:w="263" w:type="pct"/>
            <w:vAlign w:val="center"/>
            <w:hideMark/>
          </w:tcPr>
          <w:p w14:paraId="1E617A36"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182</w:t>
            </w:r>
          </w:p>
        </w:tc>
        <w:tc>
          <w:tcPr>
            <w:tcW w:w="378" w:type="pct"/>
            <w:vAlign w:val="center"/>
            <w:hideMark/>
          </w:tcPr>
          <w:p w14:paraId="1C9A1D9F"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4.28</w:t>
            </w:r>
          </w:p>
        </w:tc>
        <w:tc>
          <w:tcPr>
            <w:tcW w:w="543" w:type="pct"/>
            <w:vAlign w:val="center"/>
            <w:hideMark/>
          </w:tcPr>
          <w:p w14:paraId="5F6F127C"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48,309</w:t>
            </w:r>
          </w:p>
        </w:tc>
        <w:tc>
          <w:tcPr>
            <w:tcW w:w="612" w:type="pct"/>
            <w:vAlign w:val="center"/>
            <w:hideMark/>
          </w:tcPr>
          <w:p w14:paraId="432501F4"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29</w:t>
            </w:r>
          </w:p>
        </w:tc>
        <w:tc>
          <w:tcPr>
            <w:tcW w:w="570" w:type="pct"/>
            <w:vAlign w:val="center"/>
            <w:hideMark/>
          </w:tcPr>
          <w:p w14:paraId="7DC8BE7C"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Asia</w:t>
            </w:r>
          </w:p>
        </w:tc>
      </w:tr>
      <w:tr w:rsidR="00E4567F" w:rsidRPr="00E4567F" w14:paraId="2C5AB9C9" w14:textId="77777777" w:rsidTr="00E4567F">
        <w:trPr>
          <w:tblCellSpacing w:w="15" w:type="dxa"/>
        </w:trPr>
        <w:tc>
          <w:tcPr>
            <w:tcW w:w="982" w:type="pct"/>
            <w:vAlign w:val="center"/>
            <w:hideMark/>
          </w:tcPr>
          <w:p w14:paraId="5E8258B7" w14:textId="77777777" w:rsidR="00E4567F" w:rsidRPr="00E4567F" w:rsidRDefault="00FA1C1A" w:rsidP="00E4567F">
            <w:pPr>
              <w:rPr>
                <w:rFonts w:eastAsia="Times New Roman" w:cs="Arial"/>
                <w:sz w:val="16"/>
                <w:szCs w:val="16"/>
                <w:lang w:eastAsia="en-ZA"/>
              </w:rPr>
            </w:pPr>
            <w:hyperlink r:id="rId87" w:history="1">
              <w:r w:rsidR="00E4567F" w:rsidRPr="00E4567F">
                <w:rPr>
                  <w:rFonts w:eastAsia="Times New Roman" w:cs="Arial"/>
                  <w:color w:val="0000FF"/>
                  <w:sz w:val="16"/>
                  <w:szCs w:val="16"/>
                  <w:u w:val="single"/>
                  <w:lang w:eastAsia="en-ZA"/>
                </w:rPr>
                <w:t>Canada</w:t>
              </w:r>
            </w:hyperlink>
          </w:p>
        </w:tc>
        <w:tc>
          <w:tcPr>
            <w:tcW w:w="378" w:type="pct"/>
            <w:vAlign w:val="center"/>
            <w:hideMark/>
          </w:tcPr>
          <w:p w14:paraId="49926069"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1,851.54</w:t>
            </w:r>
          </w:p>
        </w:tc>
        <w:tc>
          <w:tcPr>
            <w:tcW w:w="226" w:type="pct"/>
            <w:vAlign w:val="center"/>
            <w:hideMark/>
          </w:tcPr>
          <w:p w14:paraId="0F89869F"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15</w:t>
            </w:r>
          </w:p>
        </w:tc>
        <w:tc>
          <w:tcPr>
            <w:tcW w:w="378" w:type="pct"/>
            <w:vAlign w:val="center"/>
            <w:hideMark/>
          </w:tcPr>
          <w:p w14:paraId="29FE3983"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2,027.37</w:t>
            </w:r>
          </w:p>
        </w:tc>
        <w:tc>
          <w:tcPr>
            <w:tcW w:w="226" w:type="pct"/>
            <w:vAlign w:val="center"/>
            <w:hideMark/>
          </w:tcPr>
          <w:p w14:paraId="18F10F77"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15</w:t>
            </w:r>
          </w:p>
        </w:tc>
        <w:tc>
          <w:tcPr>
            <w:tcW w:w="317" w:type="pct"/>
            <w:vAlign w:val="center"/>
            <w:hideMark/>
          </w:tcPr>
          <w:p w14:paraId="72EAF689"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1.40 %</w:t>
            </w:r>
          </w:p>
        </w:tc>
        <w:tc>
          <w:tcPr>
            <w:tcW w:w="263" w:type="pct"/>
            <w:vAlign w:val="center"/>
            <w:hideMark/>
          </w:tcPr>
          <w:p w14:paraId="3B00C95A"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476</w:t>
            </w:r>
          </w:p>
        </w:tc>
        <w:tc>
          <w:tcPr>
            <w:tcW w:w="378" w:type="pct"/>
            <w:vAlign w:val="center"/>
            <w:hideMark/>
          </w:tcPr>
          <w:p w14:paraId="2839449C"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5.69</w:t>
            </w:r>
          </w:p>
        </w:tc>
        <w:tc>
          <w:tcPr>
            <w:tcW w:w="543" w:type="pct"/>
            <w:vAlign w:val="center"/>
            <w:hideMark/>
          </w:tcPr>
          <w:p w14:paraId="3809D004"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53,089</w:t>
            </w:r>
          </w:p>
        </w:tc>
        <w:tc>
          <w:tcPr>
            <w:tcW w:w="612" w:type="pct"/>
            <w:vAlign w:val="center"/>
            <w:hideMark/>
          </w:tcPr>
          <w:p w14:paraId="6B7DFDE5"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24</w:t>
            </w:r>
          </w:p>
        </w:tc>
        <w:tc>
          <w:tcPr>
            <w:tcW w:w="570" w:type="pct"/>
            <w:vAlign w:val="center"/>
            <w:hideMark/>
          </w:tcPr>
          <w:p w14:paraId="5B822F3A"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North America</w:t>
            </w:r>
          </w:p>
        </w:tc>
      </w:tr>
      <w:tr w:rsidR="00E4567F" w:rsidRPr="00E4567F" w14:paraId="4B1AC713" w14:textId="77777777" w:rsidTr="00E4567F">
        <w:trPr>
          <w:tblCellSpacing w:w="15" w:type="dxa"/>
        </w:trPr>
        <w:tc>
          <w:tcPr>
            <w:tcW w:w="982" w:type="pct"/>
            <w:vAlign w:val="center"/>
            <w:hideMark/>
          </w:tcPr>
          <w:p w14:paraId="2F961535" w14:textId="77777777" w:rsidR="00E4567F" w:rsidRPr="00E4567F" w:rsidRDefault="00FA1C1A" w:rsidP="00E4567F">
            <w:pPr>
              <w:rPr>
                <w:rFonts w:eastAsia="Times New Roman" w:cs="Arial"/>
                <w:sz w:val="16"/>
                <w:szCs w:val="16"/>
                <w:lang w:eastAsia="en-ZA"/>
              </w:rPr>
            </w:pPr>
            <w:hyperlink r:id="rId88" w:history="1">
              <w:r w:rsidR="00E4567F" w:rsidRPr="00E4567F">
                <w:rPr>
                  <w:rFonts w:eastAsia="Times New Roman" w:cs="Arial"/>
                  <w:color w:val="0000FF"/>
                  <w:sz w:val="16"/>
                  <w:szCs w:val="16"/>
                  <w:u w:val="single"/>
                  <w:lang w:eastAsia="en-ZA"/>
                </w:rPr>
                <w:t>Spain</w:t>
              </w:r>
            </w:hyperlink>
          </w:p>
        </w:tc>
        <w:tc>
          <w:tcPr>
            <w:tcW w:w="378" w:type="pct"/>
            <w:vAlign w:val="center"/>
            <w:hideMark/>
          </w:tcPr>
          <w:p w14:paraId="2BB86D25"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1,811.09</w:t>
            </w:r>
          </w:p>
        </w:tc>
        <w:tc>
          <w:tcPr>
            <w:tcW w:w="226" w:type="pct"/>
            <w:vAlign w:val="center"/>
            <w:hideMark/>
          </w:tcPr>
          <w:p w14:paraId="5D3FE494"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16</w:t>
            </w:r>
          </w:p>
        </w:tc>
        <w:tc>
          <w:tcPr>
            <w:tcW w:w="378" w:type="pct"/>
            <w:vAlign w:val="center"/>
            <w:hideMark/>
          </w:tcPr>
          <w:p w14:paraId="7730EE2F"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1,984.01</w:t>
            </w:r>
          </w:p>
        </w:tc>
        <w:tc>
          <w:tcPr>
            <w:tcW w:w="226" w:type="pct"/>
            <w:vAlign w:val="center"/>
            <w:hideMark/>
          </w:tcPr>
          <w:p w14:paraId="2B2E7AE9"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16</w:t>
            </w:r>
          </w:p>
        </w:tc>
        <w:tc>
          <w:tcPr>
            <w:tcW w:w="317" w:type="pct"/>
            <w:vAlign w:val="center"/>
            <w:hideMark/>
          </w:tcPr>
          <w:p w14:paraId="312DFD9C"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1.37 %</w:t>
            </w:r>
          </w:p>
        </w:tc>
        <w:tc>
          <w:tcPr>
            <w:tcW w:w="263" w:type="pct"/>
            <w:vAlign w:val="center"/>
            <w:hideMark/>
          </w:tcPr>
          <w:p w14:paraId="4C670FA8"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43.4</w:t>
            </w:r>
          </w:p>
        </w:tc>
        <w:tc>
          <w:tcPr>
            <w:tcW w:w="378" w:type="pct"/>
            <w:vAlign w:val="center"/>
            <w:hideMark/>
          </w:tcPr>
          <w:p w14:paraId="28D06C89"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5.74</w:t>
            </w:r>
          </w:p>
        </w:tc>
        <w:tc>
          <w:tcPr>
            <w:tcW w:w="543" w:type="pct"/>
            <w:vAlign w:val="center"/>
            <w:hideMark/>
          </w:tcPr>
          <w:p w14:paraId="5EE088B4"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42,075</w:t>
            </w:r>
          </w:p>
        </w:tc>
        <w:tc>
          <w:tcPr>
            <w:tcW w:w="612" w:type="pct"/>
            <w:vAlign w:val="center"/>
            <w:hideMark/>
          </w:tcPr>
          <w:p w14:paraId="66E93F6C"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40</w:t>
            </w:r>
          </w:p>
        </w:tc>
        <w:tc>
          <w:tcPr>
            <w:tcW w:w="570" w:type="pct"/>
            <w:vAlign w:val="center"/>
            <w:hideMark/>
          </w:tcPr>
          <w:p w14:paraId="1D3310DE"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Europe</w:t>
            </w:r>
          </w:p>
        </w:tc>
      </w:tr>
      <w:tr w:rsidR="00E4567F" w:rsidRPr="00E4567F" w14:paraId="69C1E724" w14:textId="77777777" w:rsidTr="00E4567F">
        <w:trPr>
          <w:tblCellSpacing w:w="15" w:type="dxa"/>
        </w:trPr>
        <w:tc>
          <w:tcPr>
            <w:tcW w:w="982" w:type="pct"/>
            <w:vAlign w:val="center"/>
            <w:hideMark/>
          </w:tcPr>
          <w:p w14:paraId="5D54071B" w14:textId="77777777" w:rsidR="00E4567F" w:rsidRPr="00E4567F" w:rsidRDefault="00FA1C1A" w:rsidP="00E4567F">
            <w:pPr>
              <w:rPr>
                <w:rFonts w:eastAsia="Times New Roman" w:cs="Arial"/>
                <w:sz w:val="16"/>
                <w:szCs w:val="16"/>
                <w:lang w:eastAsia="en-ZA"/>
              </w:rPr>
            </w:pPr>
            <w:hyperlink r:id="rId89" w:history="1">
              <w:r w:rsidR="00E4567F" w:rsidRPr="00E4567F">
                <w:rPr>
                  <w:rFonts w:eastAsia="Times New Roman" w:cs="Arial"/>
                  <w:color w:val="0000FF"/>
                  <w:sz w:val="16"/>
                  <w:szCs w:val="16"/>
                  <w:u w:val="single"/>
                  <w:lang w:eastAsia="en-ZA"/>
                </w:rPr>
                <w:t>Saudi Arabia</w:t>
              </w:r>
            </w:hyperlink>
          </w:p>
        </w:tc>
        <w:tc>
          <w:tcPr>
            <w:tcW w:w="378" w:type="pct"/>
            <w:vAlign w:val="center"/>
            <w:hideMark/>
          </w:tcPr>
          <w:p w14:paraId="7BA18387"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1,627.75</w:t>
            </w:r>
          </w:p>
        </w:tc>
        <w:tc>
          <w:tcPr>
            <w:tcW w:w="226" w:type="pct"/>
            <w:vAlign w:val="center"/>
            <w:hideMark/>
          </w:tcPr>
          <w:p w14:paraId="7E3FC162"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17</w:t>
            </w:r>
          </w:p>
        </w:tc>
        <w:tc>
          <w:tcPr>
            <w:tcW w:w="378" w:type="pct"/>
            <w:vAlign w:val="center"/>
            <w:hideMark/>
          </w:tcPr>
          <w:p w14:paraId="6EEAC9CE"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1,734.23</w:t>
            </w:r>
          </w:p>
        </w:tc>
        <w:tc>
          <w:tcPr>
            <w:tcW w:w="226" w:type="pct"/>
            <w:vAlign w:val="center"/>
            <w:hideMark/>
          </w:tcPr>
          <w:p w14:paraId="404CD1C2"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17</w:t>
            </w:r>
          </w:p>
        </w:tc>
        <w:tc>
          <w:tcPr>
            <w:tcW w:w="317" w:type="pct"/>
            <w:vAlign w:val="center"/>
            <w:hideMark/>
          </w:tcPr>
          <w:p w14:paraId="5E17C4EF"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1.20 %</w:t>
            </w:r>
          </w:p>
        </w:tc>
        <w:tc>
          <w:tcPr>
            <w:tcW w:w="263" w:type="pct"/>
            <w:vAlign w:val="center"/>
            <w:hideMark/>
          </w:tcPr>
          <w:p w14:paraId="50EAED46"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250</w:t>
            </w:r>
          </w:p>
        </w:tc>
        <w:tc>
          <w:tcPr>
            <w:tcW w:w="378" w:type="pct"/>
            <w:vAlign w:val="center"/>
            <w:hideMark/>
          </w:tcPr>
          <w:p w14:paraId="5F9D7836"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2.84</w:t>
            </w:r>
          </w:p>
        </w:tc>
        <w:tc>
          <w:tcPr>
            <w:tcW w:w="543" w:type="pct"/>
            <w:vAlign w:val="center"/>
            <w:hideMark/>
          </w:tcPr>
          <w:p w14:paraId="37198B08"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48,908</w:t>
            </w:r>
          </w:p>
        </w:tc>
        <w:tc>
          <w:tcPr>
            <w:tcW w:w="612" w:type="pct"/>
            <w:vAlign w:val="center"/>
            <w:hideMark/>
          </w:tcPr>
          <w:p w14:paraId="69F77C75"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27</w:t>
            </w:r>
          </w:p>
        </w:tc>
        <w:tc>
          <w:tcPr>
            <w:tcW w:w="570" w:type="pct"/>
            <w:vAlign w:val="center"/>
            <w:hideMark/>
          </w:tcPr>
          <w:p w14:paraId="566E8A71"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Asia</w:t>
            </w:r>
          </w:p>
        </w:tc>
      </w:tr>
      <w:tr w:rsidR="00E4567F" w:rsidRPr="00E4567F" w14:paraId="067A6EB9" w14:textId="77777777" w:rsidTr="00E4567F">
        <w:trPr>
          <w:tblCellSpacing w:w="15" w:type="dxa"/>
        </w:trPr>
        <w:tc>
          <w:tcPr>
            <w:tcW w:w="982" w:type="pct"/>
            <w:vAlign w:val="center"/>
            <w:hideMark/>
          </w:tcPr>
          <w:p w14:paraId="4ECD44F7" w14:textId="77777777" w:rsidR="00E4567F" w:rsidRPr="00E4567F" w:rsidRDefault="00FA1C1A" w:rsidP="00E4567F">
            <w:pPr>
              <w:rPr>
                <w:rFonts w:eastAsia="Times New Roman" w:cs="Arial"/>
                <w:sz w:val="16"/>
                <w:szCs w:val="16"/>
                <w:lang w:eastAsia="en-ZA"/>
              </w:rPr>
            </w:pPr>
            <w:hyperlink r:id="rId90" w:history="1">
              <w:r w:rsidR="00E4567F" w:rsidRPr="00E4567F">
                <w:rPr>
                  <w:rFonts w:eastAsia="Times New Roman" w:cs="Arial"/>
                  <w:color w:val="0000FF"/>
                  <w:sz w:val="16"/>
                  <w:szCs w:val="16"/>
                  <w:u w:val="single"/>
                  <w:lang w:eastAsia="en-ZA"/>
                </w:rPr>
                <w:t>Taiwan Province of China</w:t>
              </w:r>
            </w:hyperlink>
          </w:p>
        </w:tc>
        <w:tc>
          <w:tcPr>
            <w:tcW w:w="378" w:type="pct"/>
            <w:vAlign w:val="center"/>
            <w:hideMark/>
          </w:tcPr>
          <w:p w14:paraId="33DB9F5B"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1,316.03</w:t>
            </w:r>
          </w:p>
        </w:tc>
        <w:tc>
          <w:tcPr>
            <w:tcW w:w="226" w:type="pct"/>
            <w:vAlign w:val="center"/>
            <w:hideMark/>
          </w:tcPr>
          <w:p w14:paraId="0B7D47EB"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19</w:t>
            </w:r>
          </w:p>
        </w:tc>
        <w:tc>
          <w:tcPr>
            <w:tcW w:w="378" w:type="pct"/>
            <w:vAlign w:val="center"/>
            <w:hideMark/>
          </w:tcPr>
          <w:p w14:paraId="603CBE63"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1,443.41</w:t>
            </w:r>
          </w:p>
        </w:tc>
        <w:tc>
          <w:tcPr>
            <w:tcW w:w="226" w:type="pct"/>
            <w:vAlign w:val="center"/>
            <w:hideMark/>
          </w:tcPr>
          <w:p w14:paraId="1560C8C3"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18</w:t>
            </w:r>
          </w:p>
        </w:tc>
        <w:tc>
          <w:tcPr>
            <w:tcW w:w="317" w:type="pct"/>
            <w:vAlign w:val="center"/>
            <w:hideMark/>
          </w:tcPr>
          <w:p w14:paraId="3D02B0CA"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0.998 %</w:t>
            </w:r>
          </w:p>
        </w:tc>
        <w:tc>
          <w:tcPr>
            <w:tcW w:w="263" w:type="pct"/>
            <w:vAlign w:val="center"/>
            <w:hideMark/>
          </w:tcPr>
          <w:p w14:paraId="2B4507F5"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291</w:t>
            </w:r>
          </w:p>
        </w:tc>
        <w:tc>
          <w:tcPr>
            <w:tcW w:w="378" w:type="pct"/>
            <w:vAlign w:val="center"/>
            <w:hideMark/>
          </w:tcPr>
          <w:p w14:paraId="124EFBED"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5.86</w:t>
            </w:r>
          </w:p>
        </w:tc>
        <w:tc>
          <w:tcPr>
            <w:tcW w:w="543" w:type="pct"/>
            <w:vAlign w:val="center"/>
            <w:hideMark/>
          </w:tcPr>
          <w:p w14:paraId="7B23763B"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61,371</w:t>
            </w:r>
          </w:p>
        </w:tc>
        <w:tc>
          <w:tcPr>
            <w:tcW w:w="612" w:type="pct"/>
            <w:vAlign w:val="center"/>
            <w:hideMark/>
          </w:tcPr>
          <w:p w14:paraId="1A7BAC0C"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15</w:t>
            </w:r>
          </w:p>
        </w:tc>
        <w:tc>
          <w:tcPr>
            <w:tcW w:w="570" w:type="pct"/>
            <w:vAlign w:val="center"/>
            <w:hideMark/>
          </w:tcPr>
          <w:p w14:paraId="15841085"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Asia</w:t>
            </w:r>
          </w:p>
        </w:tc>
      </w:tr>
      <w:tr w:rsidR="00E4567F" w:rsidRPr="00E4567F" w14:paraId="4826C038" w14:textId="77777777" w:rsidTr="00E4567F">
        <w:trPr>
          <w:tblCellSpacing w:w="15" w:type="dxa"/>
        </w:trPr>
        <w:tc>
          <w:tcPr>
            <w:tcW w:w="982" w:type="pct"/>
            <w:vAlign w:val="center"/>
            <w:hideMark/>
          </w:tcPr>
          <w:p w14:paraId="21F66FB9" w14:textId="77777777" w:rsidR="00E4567F" w:rsidRPr="00E4567F" w:rsidRDefault="00FA1C1A" w:rsidP="00E4567F">
            <w:pPr>
              <w:rPr>
                <w:rFonts w:eastAsia="Times New Roman" w:cs="Arial"/>
                <w:sz w:val="16"/>
                <w:szCs w:val="16"/>
                <w:lang w:eastAsia="en-ZA"/>
              </w:rPr>
            </w:pPr>
            <w:hyperlink r:id="rId91" w:history="1">
              <w:r w:rsidR="00E4567F" w:rsidRPr="00E4567F">
                <w:rPr>
                  <w:rFonts w:eastAsia="Times New Roman" w:cs="Arial"/>
                  <w:color w:val="0000FF"/>
                  <w:sz w:val="16"/>
                  <w:szCs w:val="16"/>
                  <w:u w:val="single"/>
                  <w:lang w:eastAsia="en-ZA"/>
                </w:rPr>
                <w:t>Australia</w:t>
              </w:r>
            </w:hyperlink>
          </w:p>
        </w:tc>
        <w:tc>
          <w:tcPr>
            <w:tcW w:w="378" w:type="pct"/>
            <w:vAlign w:val="center"/>
            <w:hideMark/>
          </w:tcPr>
          <w:p w14:paraId="0628CEBF"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1,330.47</w:t>
            </w:r>
          </w:p>
        </w:tc>
        <w:tc>
          <w:tcPr>
            <w:tcW w:w="226" w:type="pct"/>
            <w:vAlign w:val="center"/>
            <w:hideMark/>
          </w:tcPr>
          <w:p w14:paraId="66903440"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18</w:t>
            </w:r>
          </w:p>
        </w:tc>
        <w:tc>
          <w:tcPr>
            <w:tcW w:w="378" w:type="pct"/>
            <w:vAlign w:val="center"/>
            <w:hideMark/>
          </w:tcPr>
          <w:p w14:paraId="4531644D"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1,427.26</w:t>
            </w:r>
          </w:p>
        </w:tc>
        <w:tc>
          <w:tcPr>
            <w:tcW w:w="226" w:type="pct"/>
            <w:vAlign w:val="center"/>
            <w:hideMark/>
          </w:tcPr>
          <w:p w14:paraId="12E1AAC7"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19</w:t>
            </w:r>
          </w:p>
        </w:tc>
        <w:tc>
          <w:tcPr>
            <w:tcW w:w="317" w:type="pct"/>
            <w:vAlign w:val="center"/>
            <w:hideMark/>
          </w:tcPr>
          <w:p w14:paraId="76614EBC"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0.987 %</w:t>
            </w:r>
          </w:p>
        </w:tc>
        <w:tc>
          <w:tcPr>
            <w:tcW w:w="263" w:type="pct"/>
            <w:vAlign w:val="center"/>
            <w:hideMark/>
          </w:tcPr>
          <w:p w14:paraId="0E167637"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16.2</w:t>
            </w:r>
          </w:p>
        </w:tc>
        <w:tc>
          <w:tcPr>
            <w:tcW w:w="378" w:type="pct"/>
            <w:vAlign w:val="center"/>
            <w:hideMark/>
          </w:tcPr>
          <w:p w14:paraId="0EC1CF76"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3.54</w:t>
            </w:r>
          </w:p>
        </w:tc>
        <w:tc>
          <w:tcPr>
            <w:tcW w:w="543" w:type="pct"/>
            <w:vAlign w:val="center"/>
            <w:hideMark/>
          </w:tcPr>
          <w:p w14:paraId="3C408D2D"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55,492</w:t>
            </w:r>
          </w:p>
        </w:tc>
        <w:tc>
          <w:tcPr>
            <w:tcW w:w="612" w:type="pct"/>
            <w:vAlign w:val="center"/>
            <w:hideMark/>
          </w:tcPr>
          <w:p w14:paraId="1374D0BD"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22</w:t>
            </w:r>
          </w:p>
        </w:tc>
        <w:tc>
          <w:tcPr>
            <w:tcW w:w="570" w:type="pct"/>
            <w:vAlign w:val="center"/>
            <w:hideMark/>
          </w:tcPr>
          <w:p w14:paraId="0378B0E4"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Oceania</w:t>
            </w:r>
          </w:p>
        </w:tc>
      </w:tr>
      <w:tr w:rsidR="00E4567F" w:rsidRPr="00E4567F" w14:paraId="62721972" w14:textId="77777777" w:rsidTr="00E4567F">
        <w:trPr>
          <w:tblCellSpacing w:w="15" w:type="dxa"/>
        </w:trPr>
        <w:tc>
          <w:tcPr>
            <w:tcW w:w="982" w:type="pct"/>
            <w:vAlign w:val="center"/>
            <w:hideMark/>
          </w:tcPr>
          <w:p w14:paraId="11A8F053" w14:textId="77777777" w:rsidR="00E4567F" w:rsidRPr="00E4567F" w:rsidRDefault="00FA1C1A" w:rsidP="00E4567F">
            <w:pPr>
              <w:rPr>
                <w:rFonts w:eastAsia="Times New Roman" w:cs="Arial"/>
                <w:sz w:val="16"/>
                <w:szCs w:val="16"/>
                <w:lang w:eastAsia="en-ZA"/>
              </w:rPr>
            </w:pPr>
            <w:hyperlink r:id="rId92" w:history="1">
              <w:r w:rsidR="00E4567F" w:rsidRPr="00E4567F">
                <w:rPr>
                  <w:rFonts w:eastAsia="Times New Roman" w:cs="Arial"/>
                  <w:color w:val="0000FF"/>
                  <w:sz w:val="16"/>
                  <w:szCs w:val="16"/>
                  <w:u w:val="single"/>
                  <w:lang w:eastAsia="en-ZA"/>
                </w:rPr>
                <w:t>Poland</w:t>
              </w:r>
            </w:hyperlink>
          </w:p>
        </w:tc>
        <w:tc>
          <w:tcPr>
            <w:tcW w:w="378" w:type="pct"/>
            <w:vAlign w:val="center"/>
            <w:hideMark/>
          </w:tcPr>
          <w:p w14:paraId="19185AAD"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1,296.85</w:t>
            </w:r>
          </w:p>
        </w:tc>
        <w:tc>
          <w:tcPr>
            <w:tcW w:w="226" w:type="pct"/>
            <w:vAlign w:val="center"/>
            <w:hideMark/>
          </w:tcPr>
          <w:p w14:paraId="565B4D01"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20</w:t>
            </w:r>
          </w:p>
        </w:tc>
        <w:tc>
          <w:tcPr>
            <w:tcW w:w="378" w:type="pct"/>
            <w:vAlign w:val="center"/>
            <w:hideMark/>
          </w:tcPr>
          <w:p w14:paraId="07A5F503"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1,412.30</w:t>
            </w:r>
          </w:p>
        </w:tc>
        <w:tc>
          <w:tcPr>
            <w:tcW w:w="226" w:type="pct"/>
            <w:vAlign w:val="center"/>
            <w:hideMark/>
          </w:tcPr>
          <w:p w14:paraId="04B518CF"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20</w:t>
            </w:r>
          </w:p>
        </w:tc>
        <w:tc>
          <w:tcPr>
            <w:tcW w:w="317" w:type="pct"/>
            <w:vAlign w:val="center"/>
            <w:hideMark/>
          </w:tcPr>
          <w:p w14:paraId="328570D3"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0.976 %</w:t>
            </w:r>
          </w:p>
        </w:tc>
        <w:tc>
          <w:tcPr>
            <w:tcW w:w="263" w:type="pct"/>
            <w:vAlign w:val="center"/>
            <w:hideMark/>
          </w:tcPr>
          <w:p w14:paraId="44462E43"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15.0</w:t>
            </w:r>
          </w:p>
        </w:tc>
        <w:tc>
          <w:tcPr>
            <w:tcW w:w="378" w:type="pct"/>
            <w:vAlign w:val="center"/>
            <w:hideMark/>
          </w:tcPr>
          <w:p w14:paraId="5369917C"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5.12</w:t>
            </w:r>
          </w:p>
        </w:tc>
        <w:tc>
          <w:tcPr>
            <w:tcW w:w="543" w:type="pct"/>
            <w:vAlign w:val="center"/>
            <w:hideMark/>
          </w:tcPr>
          <w:p w14:paraId="13FF3763"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37,323</w:t>
            </w:r>
          </w:p>
        </w:tc>
        <w:tc>
          <w:tcPr>
            <w:tcW w:w="612" w:type="pct"/>
            <w:vAlign w:val="center"/>
            <w:hideMark/>
          </w:tcPr>
          <w:p w14:paraId="40FC95AD"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42</w:t>
            </w:r>
          </w:p>
        </w:tc>
        <w:tc>
          <w:tcPr>
            <w:tcW w:w="570" w:type="pct"/>
            <w:vAlign w:val="center"/>
            <w:hideMark/>
          </w:tcPr>
          <w:p w14:paraId="3506D6FB"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Europe</w:t>
            </w:r>
          </w:p>
        </w:tc>
      </w:tr>
      <w:tr w:rsidR="00E4567F" w:rsidRPr="00E4567F" w14:paraId="36065FFD" w14:textId="77777777" w:rsidTr="00E4567F">
        <w:trPr>
          <w:tblCellSpacing w:w="15" w:type="dxa"/>
        </w:trPr>
        <w:tc>
          <w:tcPr>
            <w:tcW w:w="982" w:type="pct"/>
            <w:vAlign w:val="center"/>
            <w:hideMark/>
          </w:tcPr>
          <w:p w14:paraId="4E472871" w14:textId="77777777" w:rsidR="00E4567F" w:rsidRPr="00E4567F" w:rsidRDefault="00FA1C1A" w:rsidP="00E4567F">
            <w:pPr>
              <w:rPr>
                <w:rFonts w:eastAsia="Times New Roman" w:cs="Arial"/>
                <w:sz w:val="16"/>
                <w:szCs w:val="16"/>
                <w:lang w:eastAsia="en-ZA"/>
              </w:rPr>
            </w:pPr>
            <w:hyperlink r:id="rId93" w:history="1">
              <w:r w:rsidR="00E4567F" w:rsidRPr="00E4567F">
                <w:rPr>
                  <w:rFonts w:eastAsia="Times New Roman" w:cs="Arial"/>
                  <w:color w:val="0000FF"/>
                  <w:sz w:val="16"/>
                  <w:szCs w:val="16"/>
                  <w:u w:val="single"/>
                  <w:lang w:eastAsia="en-ZA"/>
                </w:rPr>
                <w:t>Egypt</w:t>
              </w:r>
            </w:hyperlink>
          </w:p>
        </w:tc>
        <w:tc>
          <w:tcPr>
            <w:tcW w:w="378" w:type="pct"/>
            <w:vAlign w:val="center"/>
            <w:hideMark/>
          </w:tcPr>
          <w:p w14:paraId="1AE764D3"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1,290.02</w:t>
            </w:r>
          </w:p>
        </w:tc>
        <w:tc>
          <w:tcPr>
            <w:tcW w:w="226" w:type="pct"/>
            <w:vAlign w:val="center"/>
            <w:hideMark/>
          </w:tcPr>
          <w:p w14:paraId="3A13AA1A"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21</w:t>
            </w:r>
          </w:p>
        </w:tc>
        <w:tc>
          <w:tcPr>
            <w:tcW w:w="378" w:type="pct"/>
            <w:vAlign w:val="center"/>
            <w:hideMark/>
          </w:tcPr>
          <w:p w14:paraId="1F716ACF"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1,381.06</w:t>
            </w:r>
          </w:p>
        </w:tc>
        <w:tc>
          <w:tcPr>
            <w:tcW w:w="226" w:type="pct"/>
            <w:vAlign w:val="center"/>
            <w:hideMark/>
          </w:tcPr>
          <w:p w14:paraId="5D1B45FD"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21</w:t>
            </w:r>
          </w:p>
        </w:tc>
        <w:tc>
          <w:tcPr>
            <w:tcW w:w="317" w:type="pct"/>
            <w:vAlign w:val="center"/>
            <w:hideMark/>
          </w:tcPr>
          <w:p w14:paraId="7A58DCFD"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0.955 %</w:t>
            </w:r>
          </w:p>
        </w:tc>
        <w:tc>
          <w:tcPr>
            <w:tcW w:w="263" w:type="pct"/>
            <w:vAlign w:val="center"/>
            <w:hideMark/>
          </w:tcPr>
          <w:p w14:paraId="3E22CD32"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31.2</w:t>
            </w:r>
          </w:p>
        </w:tc>
        <w:tc>
          <w:tcPr>
            <w:tcW w:w="378" w:type="pct"/>
            <w:vAlign w:val="center"/>
            <w:hideMark/>
          </w:tcPr>
          <w:p w14:paraId="5826D798"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3.33</w:t>
            </w:r>
          </w:p>
        </w:tc>
        <w:tc>
          <w:tcPr>
            <w:tcW w:w="543" w:type="pct"/>
            <w:vAlign w:val="center"/>
            <w:hideMark/>
          </w:tcPr>
          <w:p w14:paraId="6529D9A7"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13,422</w:t>
            </w:r>
          </w:p>
        </w:tc>
        <w:tc>
          <w:tcPr>
            <w:tcW w:w="612" w:type="pct"/>
            <w:vAlign w:val="center"/>
            <w:hideMark/>
          </w:tcPr>
          <w:p w14:paraId="118FCA0A"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101</w:t>
            </w:r>
          </w:p>
        </w:tc>
        <w:tc>
          <w:tcPr>
            <w:tcW w:w="570" w:type="pct"/>
            <w:vAlign w:val="center"/>
            <w:hideMark/>
          </w:tcPr>
          <w:p w14:paraId="5446AA76"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Africa</w:t>
            </w:r>
          </w:p>
        </w:tc>
      </w:tr>
      <w:tr w:rsidR="00E4567F" w:rsidRPr="00E4567F" w14:paraId="4AF9B7FA" w14:textId="77777777" w:rsidTr="00E4567F">
        <w:trPr>
          <w:tblCellSpacing w:w="15" w:type="dxa"/>
        </w:trPr>
        <w:tc>
          <w:tcPr>
            <w:tcW w:w="982" w:type="pct"/>
            <w:vAlign w:val="center"/>
            <w:hideMark/>
          </w:tcPr>
          <w:p w14:paraId="2D9D2EB3" w14:textId="77777777" w:rsidR="00E4567F" w:rsidRPr="00E4567F" w:rsidRDefault="00FA1C1A" w:rsidP="00E4567F">
            <w:pPr>
              <w:rPr>
                <w:rFonts w:eastAsia="Times New Roman" w:cs="Arial"/>
                <w:sz w:val="16"/>
                <w:szCs w:val="16"/>
                <w:lang w:eastAsia="en-ZA"/>
              </w:rPr>
            </w:pPr>
            <w:hyperlink r:id="rId94" w:history="1">
              <w:r w:rsidR="00E4567F" w:rsidRPr="00E4567F">
                <w:rPr>
                  <w:rFonts w:eastAsia="Times New Roman" w:cs="Arial"/>
                  <w:color w:val="0000FF"/>
                  <w:sz w:val="16"/>
                  <w:szCs w:val="16"/>
                  <w:u w:val="single"/>
                  <w:lang w:eastAsia="en-ZA"/>
                </w:rPr>
                <w:t>Thailand</w:t>
              </w:r>
            </w:hyperlink>
          </w:p>
        </w:tc>
        <w:tc>
          <w:tcPr>
            <w:tcW w:w="378" w:type="pct"/>
            <w:vAlign w:val="center"/>
            <w:hideMark/>
          </w:tcPr>
          <w:p w14:paraId="02154EF1"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1,272.54</w:t>
            </w:r>
          </w:p>
        </w:tc>
        <w:tc>
          <w:tcPr>
            <w:tcW w:w="226" w:type="pct"/>
            <w:vAlign w:val="center"/>
            <w:hideMark/>
          </w:tcPr>
          <w:p w14:paraId="068212BA"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22</w:t>
            </w:r>
          </w:p>
        </w:tc>
        <w:tc>
          <w:tcPr>
            <w:tcW w:w="378" w:type="pct"/>
            <w:vAlign w:val="center"/>
            <w:hideMark/>
          </w:tcPr>
          <w:p w14:paraId="47150C44"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1,331.05</w:t>
            </w:r>
          </w:p>
        </w:tc>
        <w:tc>
          <w:tcPr>
            <w:tcW w:w="226" w:type="pct"/>
            <w:vAlign w:val="center"/>
            <w:hideMark/>
          </w:tcPr>
          <w:p w14:paraId="0D845AFF"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22</w:t>
            </w:r>
          </w:p>
        </w:tc>
        <w:tc>
          <w:tcPr>
            <w:tcW w:w="317" w:type="pct"/>
            <w:vAlign w:val="center"/>
            <w:hideMark/>
          </w:tcPr>
          <w:p w14:paraId="29A3AC13"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0.920 %</w:t>
            </w:r>
          </w:p>
        </w:tc>
        <w:tc>
          <w:tcPr>
            <w:tcW w:w="263" w:type="pct"/>
            <w:vAlign w:val="center"/>
            <w:hideMark/>
          </w:tcPr>
          <w:p w14:paraId="070D1AAA"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50.0</w:t>
            </w:r>
          </w:p>
        </w:tc>
        <w:tc>
          <w:tcPr>
            <w:tcW w:w="378" w:type="pct"/>
            <w:vAlign w:val="center"/>
            <w:hideMark/>
          </w:tcPr>
          <w:p w14:paraId="1CC4A35B"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0.96</w:t>
            </w:r>
          </w:p>
        </w:tc>
        <w:tc>
          <w:tcPr>
            <w:tcW w:w="543" w:type="pct"/>
            <w:vAlign w:val="center"/>
            <w:hideMark/>
          </w:tcPr>
          <w:p w14:paraId="3EBBAB5B"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19,028</w:t>
            </w:r>
          </w:p>
        </w:tc>
        <w:tc>
          <w:tcPr>
            <w:tcW w:w="612" w:type="pct"/>
            <w:vAlign w:val="center"/>
            <w:hideMark/>
          </w:tcPr>
          <w:p w14:paraId="40A99EF8"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76</w:t>
            </w:r>
          </w:p>
        </w:tc>
        <w:tc>
          <w:tcPr>
            <w:tcW w:w="570" w:type="pct"/>
            <w:vAlign w:val="center"/>
            <w:hideMark/>
          </w:tcPr>
          <w:p w14:paraId="464472ED"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Asia</w:t>
            </w:r>
          </w:p>
        </w:tc>
      </w:tr>
      <w:tr w:rsidR="00E4567F" w:rsidRPr="00E4567F" w14:paraId="7F829FA3" w14:textId="77777777" w:rsidTr="00E4567F">
        <w:trPr>
          <w:tblCellSpacing w:w="15" w:type="dxa"/>
        </w:trPr>
        <w:tc>
          <w:tcPr>
            <w:tcW w:w="982" w:type="pct"/>
            <w:vAlign w:val="center"/>
            <w:hideMark/>
          </w:tcPr>
          <w:p w14:paraId="6913CF67" w14:textId="77777777" w:rsidR="00E4567F" w:rsidRPr="00E4567F" w:rsidRDefault="00FA1C1A" w:rsidP="00E4567F">
            <w:pPr>
              <w:rPr>
                <w:rFonts w:eastAsia="Times New Roman" w:cs="Arial"/>
                <w:sz w:val="16"/>
                <w:szCs w:val="16"/>
                <w:lang w:eastAsia="en-ZA"/>
              </w:rPr>
            </w:pPr>
            <w:hyperlink r:id="rId95" w:history="1">
              <w:r w:rsidR="00E4567F" w:rsidRPr="00E4567F">
                <w:rPr>
                  <w:rFonts w:eastAsia="Times New Roman" w:cs="Arial"/>
                  <w:color w:val="0000FF"/>
                  <w:sz w:val="16"/>
                  <w:szCs w:val="16"/>
                  <w:u w:val="single"/>
                  <w:lang w:eastAsia="en-ZA"/>
                </w:rPr>
                <w:t>Islamic Republic of Iran</w:t>
              </w:r>
            </w:hyperlink>
          </w:p>
        </w:tc>
        <w:tc>
          <w:tcPr>
            <w:tcW w:w="378" w:type="pct"/>
            <w:vAlign w:val="center"/>
            <w:hideMark/>
          </w:tcPr>
          <w:p w14:paraId="38089D9A"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1,120.21</w:t>
            </w:r>
          </w:p>
        </w:tc>
        <w:tc>
          <w:tcPr>
            <w:tcW w:w="226" w:type="pct"/>
            <w:vAlign w:val="center"/>
            <w:hideMark/>
          </w:tcPr>
          <w:p w14:paraId="3D92E819"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23</w:t>
            </w:r>
          </w:p>
        </w:tc>
        <w:tc>
          <w:tcPr>
            <w:tcW w:w="378" w:type="pct"/>
            <w:vAlign w:val="center"/>
            <w:hideMark/>
          </w:tcPr>
          <w:p w14:paraId="47DEE80A"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1,189.15</w:t>
            </w:r>
          </w:p>
        </w:tc>
        <w:tc>
          <w:tcPr>
            <w:tcW w:w="226" w:type="pct"/>
            <w:vAlign w:val="center"/>
            <w:hideMark/>
          </w:tcPr>
          <w:p w14:paraId="4D78A31F"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23</w:t>
            </w:r>
          </w:p>
        </w:tc>
        <w:tc>
          <w:tcPr>
            <w:tcW w:w="317" w:type="pct"/>
            <w:vAlign w:val="center"/>
            <w:hideMark/>
          </w:tcPr>
          <w:p w14:paraId="2816ADC9"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0.822 %</w:t>
            </w:r>
          </w:p>
        </w:tc>
        <w:tc>
          <w:tcPr>
            <w:tcW w:w="263" w:type="pct"/>
            <w:vAlign w:val="center"/>
            <w:hideMark/>
          </w:tcPr>
          <w:p w14:paraId="0915C37A"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142</w:t>
            </w:r>
          </w:p>
        </w:tc>
        <w:tc>
          <w:tcPr>
            <w:tcW w:w="378" w:type="pct"/>
            <w:vAlign w:val="center"/>
            <w:hideMark/>
          </w:tcPr>
          <w:p w14:paraId="22F8CF6D"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2.46</w:t>
            </w:r>
          </w:p>
        </w:tc>
        <w:tc>
          <w:tcPr>
            <w:tcW w:w="543" w:type="pct"/>
            <w:vAlign w:val="center"/>
            <w:hideMark/>
          </w:tcPr>
          <w:p w14:paraId="3E3A539A"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13,993</w:t>
            </w:r>
          </w:p>
        </w:tc>
        <w:tc>
          <w:tcPr>
            <w:tcW w:w="612" w:type="pct"/>
            <w:vAlign w:val="center"/>
            <w:hideMark/>
          </w:tcPr>
          <w:p w14:paraId="5EA60DF7"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97</w:t>
            </w:r>
          </w:p>
        </w:tc>
        <w:tc>
          <w:tcPr>
            <w:tcW w:w="570" w:type="pct"/>
            <w:vAlign w:val="center"/>
            <w:hideMark/>
          </w:tcPr>
          <w:p w14:paraId="2372A076"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Asia</w:t>
            </w:r>
          </w:p>
        </w:tc>
      </w:tr>
      <w:tr w:rsidR="00E4567F" w:rsidRPr="00E4567F" w14:paraId="0157C86B" w14:textId="77777777" w:rsidTr="00E4567F">
        <w:trPr>
          <w:tblCellSpacing w:w="15" w:type="dxa"/>
        </w:trPr>
        <w:tc>
          <w:tcPr>
            <w:tcW w:w="982" w:type="pct"/>
            <w:vAlign w:val="center"/>
            <w:hideMark/>
          </w:tcPr>
          <w:p w14:paraId="51332913" w14:textId="77777777" w:rsidR="00E4567F" w:rsidRPr="00E4567F" w:rsidRDefault="00FA1C1A" w:rsidP="00E4567F">
            <w:pPr>
              <w:rPr>
                <w:rFonts w:eastAsia="Times New Roman" w:cs="Arial"/>
                <w:sz w:val="16"/>
                <w:szCs w:val="16"/>
                <w:lang w:eastAsia="en-ZA"/>
              </w:rPr>
            </w:pPr>
            <w:hyperlink r:id="rId96" w:history="1">
              <w:r w:rsidR="00E4567F" w:rsidRPr="00E4567F">
                <w:rPr>
                  <w:rFonts w:eastAsia="Times New Roman" w:cs="Arial"/>
                  <w:color w:val="0000FF"/>
                  <w:sz w:val="16"/>
                  <w:szCs w:val="16"/>
                  <w:u w:val="single"/>
                  <w:lang w:eastAsia="en-ZA"/>
                </w:rPr>
                <w:t>Pakistan</w:t>
              </w:r>
            </w:hyperlink>
          </w:p>
        </w:tc>
        <w:tc>
          <w:tcPr>
            <w:tcW w:w="378" w:type="pct"/>
            <w:vAlign w:val="center"/>
            <w:hideMark/>
          </w:tcPr>
          <w:p w14:paraId="32BB974B"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1,074.84</w:t>
            </w:r>
          </w:p>
        </w:tc>
        <w:tc>
          <w:tcPr>
            <w:tcW w:w="226" w:type="pct"/>
            <w:vAlign w:val="center"/>
            <w:hideMark/>
          </w:tcPr>
          <w:p w14:paraId="61A7E678"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24</w:t>
            </w:r>
          </w:p>
        </w:tc>
        <w:tc>
          <w:tcPr>
            <w:tcW w:w="378" w:type="pct"/>
            <w:vAlign w:val="center"/>
            <w:hideMark/>
          </w:tcPr>
          <w:p w14:paraId="01417BB7"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1,157.48</w:t>
            </w:r>
          </w:p>
        </w:tc>
        <w:tc>
          <w:tcPr>
            <w:tcW w:w="226" w:type="pct"/>
            <w:vAlign w:val="center"/>
            <w:hideMark/>
          </w:tcPr>
          <w:p w14:paraId="4833C118"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24</w:t>
            </w:r>
          </w:p>
        </w:tc>
        <w:tc>
          <w:tcPr>
            <w:tcW w:w="317" w:type="pct"/>
            <w:vAlign w:val="center"/>
            <w:hideMark/>
          </w:tcPr>
          <w:p w14:paraId="0483969B"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0.800 %</w:t>
            </w:r>
          </w:p>
        </w:tc>
        <w:tc>
          <w:tcPr>
            <w:tcW w:w="263" w:type="pct"/>
            <w:vAlign w:val="center"/>
            <w:hideMark/>
          </w:tcPr>
          <w:p w14:paraId="473571EE"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31.7</w:t>
            </w:r>
          </w:p>
        </w:tc>
        <w:tc>
          <w:tcPr>
            <w:tcW w:w="378" w:type="pct"/>
            <w:vAlign w:val="center"/>
            <w:hideMark/>
          </w:tcPr>
          <w:p w14:paraId="68608516"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3.94</w:t>
            </w:r>
          </w:p>
        </w:tc>
        <w:tc>
          <w:tcPr>
            <w:tcW w:w="543" w:type="pct"/>
            <w:vAlign w:val="center"/>
            <w:hideMark/>
          </w:tcPr>
          <w:p w14:paraId="59DE7DB9"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5,447</w:t>
            </w:r>
          </w:p>
        </w:tc>
        <w:tc>
          <w:tcPr>
            <w:tcW w:w="612" w:type="pct"/>
            <w:vAlign w:val="center"/>
            <w:hideMark/>
          </w:tcPr>
          <w:p w14:paraId="478A0F27"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143</w:t>
            </w:r>
          </w:p>
        </w:tc>
        <w:tc>
          <w:tcPr>
            <w:tcW w:w="570" w:type="pct"/>
            <w:vAlign w:val="center"/>
            <w:hideMark/>
          </w:tcPr>
          <w:p w14:paraId="1674290E"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Asia</w:t>
            </w:r>
          </w:p>
        </w:tc>
      </w:tr>
      <w:tr w:rsidR="00E4567F" w:rsidRPr="00E4567F" w14:paraId="009E2B4B" w14:textId="77777777" w:rsidTr="00E4567F">
        <w:trPr>
          <w:tblCellSpacing w:w="15" w:type="dxa"/>
        </w:trPr>
        <w:tc>
          <w:tcPr>
            <w:tcW w:w="982" w:type="pct"/>
            <w:vAlign w:val="center"/>
            <w:hideMark/>
          </w:tcPr>
          <w:p w14:paraId="1FB06B8B" w14:textId="77777777" w:rsidR="00E4567F" w:rsidRPr="00E4567F" w:rsidRDefault="00FA1C1A" w:rsidP="00E4567F">
            <w:pPr>
              <w:rPr>
                <w:rFonts w:eastAsia="Times New Roman" w:cs="Arial"/>
                <w:sz w:val="16"/>
                <w:szCs w:val="16"/>
                <w:lang w:eastAsia="en-ZA"/>
              </w:rPr>
            </w:pPr>
            <w:hyperlink r:id="rId97" w:history="1">
              <w:r w:rsidR="00E4567F" w:rsidRPr="00E4567F">
                <w:rPr>
                  <w:rFonts w:eastAsia="Times New Roman" w:cs="Arial"/>
                  <w:color w:val="0000FF"/>
                  <w:sz w:val="16"/>
                  <w:szCs w:val="16"/>
                  <w:u w:val="single"/>
                  <w:lang w:eastAsia="en-ZA"/>
                </w:rPr>
                <w:t>Vietnam</w:t>
              </w:r>
            </w:hyperlink>
          </w:p>
        </w:tc>
        <w:tc>
          <w:tcPr>
            <w:tcW w:w="378" w:type="pct"/>
            <w:vAlign w:val="center"/>
            <w:hideMark/>
          </w:tcPr>
          <w:p w14:paraId="4E1A6F97"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1,061.48</w:t>
            </w:r>
          </w:p>
        </w:tc>
        <w:tc>
          <w:tcPr>
            <w:tcW w:w="226" w:type="pct"/>
            <w:vAlign w:val="center"/>
            <w:hideMark/>
          </w:tcPr>
          <w:p w14:paraId="6737CCC1"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26</w:t>
            </w:r>
          </w:p>
        </w:tc>
        <w:tc>
          <w:tcPr>
            <w:tcW w:w="378" w:type="pct"/>
            <w:vAlign w:val="center"/>
            <w:hideMark/>
          </w:tcPr>
          <w:p w14:paraId="62B708FD"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1,141.30</w:t>
            </w:r>
          </w:p>
        </w:tc>
        <w:tc>
          <w:tcPr>
            <w:tcW w:w="226" w:type="pct"/>
            <w:vAlign w:val="center"/>
            <w:hideMark/>
          </w:tcPr>
          <w:p w14:paraId="22E0BBF0"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25</w:t>
            </w:r>
          </w:p>
        </w:tc>
        <w:tc>
          <w:tcPr>
            <w:tcW w:w="317" w:type="pct"/>
            <w:vAlign w:val="center"/>
            <w:hideMark/>
          </w:tcPr>
          <w:p w14:paraId="22969A7D"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0.789 %</w:t>
            </w:r>
          </w:p>
        </w:tc>
        <w:tc>
          <w:tcPr>
            <w:tcW w:w="263" w:type="pct"/>
            <w:vAlign w:val="center"/>
            <w:hideMark/>
          </w:tcPr>
          <w:p w14:paraId="06B17F03"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16.2</w:t>
            </w:r>
          </w:p>
        </w:tc>
        <w:tc>
          <w:tcPr>
            <w:tcW w:w="378" w:type="pct"/>
            <w:vAlign w:val="center"/>
            <w:hideMark/>
          </w:tcPr>
          <w:p w14:paraId="62624225"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3.78</w:t>
            </w:r>
          </w:p>
        </w:tc>
        <w:tc>
          <w:tcPr>
            <w:tcW w:w="543" w:type="pct"/>
            <w:vAlign w:val="center"/>
            <w:hideMark/>
          </w:tcPr>
          <w:p w14:paraId="6E907E26"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11,608</w:t>
            </w:r>
          </w:p>
        </w:tc>
        <w:tc>
          <w:tcPr>
            <w:tcW w:w="612" w:type="pct"/>
            <w:vAlign w:val="center"/>
            <w:hideMark/>
          </w:tcPr>
          <w:p w14:paraId="3844698C"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112</w:t>
            </w:r>
          </w:p>
        </w:tc>
        <w:tc>
          <w:tcPr>
            <w:tcW w:w="570" w:type="pct"/>
            <w:vAlign w:val="center"/>
            <w:hideMark/>
          </w:tcPr>
          <w:p w14:paraId="3391EF82"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Asia</w:t>
            </w:r>
          </w:p>
        </w:tc>
      </w:tr>
      <w:tr w:rsidR="00E4567F" w:rsidRPr="00E4567F" w14:paraId="0F7E0979" w14:textId="77777777" w:rsidTr="00E4567F">
        <w:trPr>
          <w:tblCellSpacing w:w="15" w:type="dxa"/>
        </w:trPr>
        <w:tc>
          <w:tcPr>
            <w:tcW w:w="982" w:type="pct"/>
            <w:vAlign w:val="center"/>
            <w:hideMark/>
          </w:tcPr>
          <w:p w14:paraId="4EEF8049" w14:textId="77777777" w:rsidR="00E4567F" w:rsidRPr="00E4567F" w:rsidRDefault="00FA1C1A" w:rsidP="00E4567F">
            <w:pPr>
              <w:rPr>
                <w:rFonts w:eastAsia="Times New Roman" w:cs="Arial"/>
                <w:sz w:val="16"/>
                <w:szCs w:val="16"/>
                <w:lang w:eastAsia="en-ZA"/>
              </w:rPr>
            </w:pPr>
            <w:hyperlink r:id="rId98" w:history="1">
              <w:r w:rsidR="00E4567F" w:rsidRPr="00E4567F">
                <w:rPr>
                  <w:rFonts w:eastAsia="Times New Roman" w:cs="Arial"/>
                  <w:color w:val="0000FF"/>
                  <w:sz w:val="16"/>
                  <w:szCs w:val="16"/>
                  <w:u w:val="single"/>
                  <w:lang w:eastAsia="en-ZA"/>
                </w:rPr>
                <w:t>Nigeria</w:t>
              </w:r>
            </w:hyperlink>
          </w:p>
        </w:tc>
        <w:tc>
          <w:tcPr>
            <w:tcW w:w="378" w:type="pct"/>
            <w:vAlign w:val="center"/>
            <w:hideMark/>
          </w:tcPr>
          <w:p w14:paraId="55195885"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1,069.04</w:t>
            </w:r>
          </w:p>
        </w:tc>
        <w:tc>
          <w:tcPr>
            <w:tcW w:w="226" w:type="pct"/>
            <w:vAlign w:val="center"/>
            <w:hideMark/>
          </w:tcPr>
          <w:p w14:paraId="4865D01D"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25</w:t>
            </w:r>
          </w:p>
        </w:tc>
        <w:tc>
          <w:tcPr>
            <w:tcW w:w="378" w:type="pct"/>
            <w:vAlign w:val="center"/>
            <w:hideMark/>
          </w:tcPr>
          <w:p w14:paraId="04EDD4A9"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1,136.80</w:t>
            </w:r>
          </w:p>
        </w:tc>
        <w:tc>
          <w:tcPr>
            <w:tcW w:w="226" w:type="pct"/>
            <w:vAlign w:val="center"/>
            <w:hideMark/>
          </w:tcPr>
          <w:p w14:paraId="33040EFE"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26</w:t>
            </w:r>
          </w:p>
        </w:tc>
        <w:tc>
          <w:tcPr>
            <w:tcW w:w="317" w:type="pct"/>
            <w:vAlign w:val="center"/>
            <w:hideMark/>
          </w:tcPr>
          <w:p w14:paraId="3DBFF792"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0.786 %</w:t>
            </w:r>
          </w:p>
        </w:tc>
        <w:tc>
          <w:tcPr>
            <w:tcW w:w="263" w:type="pct"/>
            <w:vAlign w:val="center"/>
            <w:hideMark/>
          </w:tcPr>
          <w:p w14:paraId="088978F4"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4.50</w:t>
            </w:r>
          </w:p>
        </w:tc>
        <w:tc>
          <w:tcPr>
            <w:tcW w:w="378" w:type="pct"/>
            <w:vAlign w:val="center"/>
            <w:hideMark/>
          </w:tcPr>
          <w:p w14:paraId="1CF1E51C"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2.64</w:t>
            </w:r>
          </w:p>
        </w:tc>
        <w:tc>
          <w:tcPr>
            <w:tcW w:w="543" w:type="pct"/>
            <w:vAlign w:val="center"/>
            <w:hideMark/>
          </w:tcPr>
          <w:p w14:paraId="06EF2D0E"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5,377</w:t>
            </w:r>
          </w:p>
        </w:tc>
        <w:tc>
          <w:tcPr>
            <w:tcW w:w="612" w:type="pct"/>
            <w:vAlign w:val="center"/>
            <w:hideMark/>
          </w:tcPr>
          <w:p w14:paraId="20A0294F"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145</w:t>
            </w:r>
          </w:p>
        </w:tc>
        <w:tc>
          <w:tcPr>
            <w:tcW w:w="570" w:type="pct"/>
            <w:vAlign w:val="center"/>
            <w:hideMark/>
          </w:tcPr>
          <w:p w14:paraId="3B5D9085"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Africa</w:t>
            </w:r>
          </w:p>
        </w:tc>
      </w:tr>
      <w:tr w:rsidR="00E4567F" w:rsidRPr="00E4567F" w14:paraId="656671AD" w14:textId="77777777" w:rsidTr="00E4567F">
        <w:trPr>
          <w:tblCellSpacing w:w="15" w:type="dxa"/>
        </w:trPr>
        <w:tc>
          <w:tcPr>
            <w:tcW w:w="982" w:type="pct"/>
            <w:vAlign w:val="center"/>
            <w:hideMark/>
          </w:tcPr>
          <w:p w14:paraId="713E218C" w14:textId="77777777" w:rsidR="00E4567F" w:rsidRPr="00E4567F" w:rsidRDefault="00FA1C1A" w:rsidP="00E4567F">
            <w:pPr>
              <w:rPr>
                <w:rFonts w:eastAsia="Times New Roman" w:cs="Arial"/>
                <w:sz w:val="16"/>
                <w:szCs w:val="16"/>
                <w:lang w:eastAsia="en-ZA"/>
              </w:rPr>
            </w:pPr>
            <w:hyperlink r:id="rId99" w:history="1">
              <w:r w:rsidR="00E4567F" w:rsidRPr="00E4567F">
                <w:rPr>
                  <w:rFonts w:eastAsia="Times New Roman" w:cs="Arial"/>
                  <w:color w:val="0000FF"/>
                  <w:sz w:val="16"/>
                  <w:szCs w:val="16"/>
                  <w:u w:val="single"/>
                  <w:lang w:eastAsia="en-ZA"/>
                </w:rPr>
                <w:t>Netherlands</w:t>
              </w:r>
            </w:hyperlink>
          </w:p>
        </w:tc>
        <w:tc>
          <w:tcPr>
            <w:tcW w:w="378" w:type="pct"/>
            <w:vAlign w:val="center"/>
            <w:hideMark/>
          </w:tcPr>
          <w:p w14:paraId="7799F9B5"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1,003.81</w:t>
            </w:r>
          </w:p>
        </w:tc>
        <w:tc>
          <w:tcPr>
            <w:tcW w:w="226" w:type="pct"/>
            <w:vAlign w:val="center"/>
            <w:hideMark/>
          </w:tcPr>
          <w:p w14:paraId="690D8CB6"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27</w:t>
            </w:r>
          </w:p>
        </w:tc>
        <w:tc>
          <w:tcPr>
            <w:tcW w:w="378" w:type="pct"/>
            <w:vAlign w:val="center"/>
            <w:hideMark/>
          </w:tcPr>
          <w:p w14:paraId="47DC1AFA"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1,079.16</w:t>
            </w:r>
          </w:p>
        </w:tc>
        <w:tc>
          <w:tcPr>
            <w:tcW w:w="226" w:type="pct"/>
            <w:vAlign w:val="center"/>
            <w:hideMark/>
          </w:tcPr>
          <w:p w14:paraId="6203C222"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27</w:t>
            </w:r>
          </w:p>
        </w:tc>
        <w:tc>
          <w:tcPr>
            <w:tcW w:w="317" w:type="pct"/>
            <w:vAlign w:val="center"/>
            <w:hideMark/>
          </w:tcPr>
          <w:p w14:paraId="453B7FF9"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0.746 %</w:t>
            </w:r>
          </w:p>
        </w:tc>
        <w:tc>
          <w:tcPr>
            <w:tcW w:w="263" w:type="pct"/>
            <w:vAlign w:val="center"/>
            <w:hideMark/>
          </w:tcPr>
          <w:p w14:paraId="16A94355"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57.6</w:t>
            </w:r>
          </w:p>
        </w:tc>
        <w:tc>
          <w:tcPr>
            <w:tcW w:w="378" w:type="pct"/>
            <w:vAlign w:val="center"/>
            <w:hideMark/>
          </w:tcPr>
          <w:p w14:paraId="7688DF7B"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3.77</w:t>
            </w:r>
          </w:p>
        </w:tc>
        <w:tc>
          <w:tcPr>
            <w:tcW w:w="543" w:type="pct"/>
            <w:vAlign w:val="center"/>
            <w:hideMark/>
          </w:tcPr>
          <w:p w14:paraId="7BF25616"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61,816</w:t>
            </w:r>
          </w:p>
        </w:tc>
        <w:tc>
          <w:tcPr>
            <w:tcW w:w="612" w:type="pct"/>
            <w:vAlign w:val="center"/>
            <w:hideMark/>
          </w:tcPr>
          <w:p w14:paraId="1ADD731F"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14</w:t>
            </w:r>
          </w:p>
        </w:tc>
        <w:tc>
          <w:tcPr>
            <w:tcW w:w="570" w:type="pct"/>
            <w:vAlign w:val="center"/>
            <w:hideMark/>
          </w:tcPr>
          <w:p w14:paraId="3C9619BE"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Europe</w:t>
            </w:r>
          </w:p>
        </w:tc>
      </w:tr>
      <w:tr w:rsidR="00E4567F" w:rsidRPr="00E4567F" w14:paraId="5CD74804" w14:textId="77777777" w:rsidTr="00E4567F">
        <w:trPr>
          <w:tblCellSpacing w:w="15" w:type="dxa"/>
        </w:trPr>
        <w:tc>
          <w:tcPr>
            <w:tcW w:w="982" w:type="pct"/>
            <w:vAlign w:val="center"/>
            <w:hideMark/>
          </w:tcPr>
          <w:p w14:paraId="2623EA04" w14:textId="77777777" w:rsidR="00E4567F" w:rsidRPr="00E4567F" w:rsidRDefault="00FA1C1A" w:rsidP="00E4567F">
            <w:pPr>
              <w:rPr>
                <w:rFonts w:eastAsia="Times New Roman" w:cs="Arial"/>
                <w:sz w:val="16"/>
                <w:szCs w:val="16"/>
                <w:lang w:eastAsia="en-ZA"/>
              </w:rPr>
            </w:pPr>
            <w:hyperlink r:id="rId100" w:history="1">
              <w:r w:rsidR="00E4567F" w:rsidRPr="00E4567F">
                <w:rPr>
                  <w:rFonts w:eastAsia="Times New Roman" w:cs="Arial"/>
                  <w:color w:val="0000FF"/>
                  <w:sz w:val="16"/>
                  <w:szCs w:val="16"/>
                  <w:u w:val="single"/>
                  <w:lang w:eastAsia="en-ZA"/>
                </w:rPr>
                <w:t>Argentina</w:t>
              </w:r>
            </w:hyperlink>
          </w:p>
        </w:tc>
        <w:tc>
          <w:tcPr>
            <w:tcW w:w="378" w:type="pct"/>
            <w:vAlign w:val="center"/>
            <w:hideMark/>
          </w:tcPr>
          <w:p w14:paraId="4AD57212"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942.23</w:t>
            </w:r>
          </w:p>
        </w:tc>
        <w:tc>
          <w:tcPr>
            <w:tcW w:w="226" w:type="pct"/>
            <w:vAlign w:val="center"/>
            <w:hideMark/>
          </w:tcPr>
          <w:p w14:paraId="7985F57A"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28</w:t>
            </w:r>
          </w:p>
        </w:tc>
        <w:tc>
          <w:tcPr>
            <w:tcW w:w="378" w:type="pct"/>
            <w:vAlign w:val="center"/>
            <w:hideMark/>
          </w:tcPr>
          <w:p w14:paraId="23273A77"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1,049.40</w:t>
            </w:r>
          </w:p>
        </w:tc>
        <w:tc>
          <w:tcPr>
            <w:tcW w:w="226" w:type="pct"/>
            <w:vAlign w:val="center"/>
            <w:hideMark/>
          </w:tcPr>
          <w:p w14:paraId="32FAA57F"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28</w:t>
            </w:r>
          </w:p>
        </w:tc>
        <w:tc>
          <w:tcPr>
            <w:tcW w:w="317" w:type="pct"/>
            <w:vAlign w:val="center"/>
            <w:hideMark/>
          </w:tcPr>
          <w:p w14:paraId="54ABD0CD"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0.726 %</w:t>
            </w:r>
          </w:p>
        </w:tc>
        <w:tc>
          <w:tcPr>
            <w:tcW w:w="263" w:type="pct"/>
            <w:vAlign w:val="center"/>
            <w:hideMark/>
          </w:tcPr>
          <w:p w14:paraId="5E76363E"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29.8</w:t>
            </w:r>
          </w:p>
        </w:tc>
        <w:tc>
          <w:tcPr>
            <w:tcW w:w="378" w:type="pct"/>
            <w:vAlign w:val="center"/>
            <w:hideMark/>
          </w:tcPr>
          <w:p w14:paraId="780BC655"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7.50</w:t>
            </w:r>
          </w:p>
        </w:tc>
        <w:tc>
          <w:tcPr>
            <w:tcW w:w="543" w:type="pct"/>
            <w:vAlign w:val="center"/>
            <w:hideMark/>
          </w:tcPr>
          <w:p w14:paraId="76C4949A"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22,892</w:t>
            </w:r>
          </w:p>
        </w:tc>
        <w:tc>
          <w:tcPr>
            <w:tcW w:w="612" w:type="pct"/>
            <w:vAlign w:val="center"/>
            <w:hideMark/>
          </w:tcPr>
          <w:p w14:paraId="6E85BD2C"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67</w:t>
            </w:r>
          </w:p>
        </w:tc>
        <w:tc>
          <w:tcPr>
            <w:tcW w:w="570" w:type="pct"/>
            <w:vAlign w:val="center"/>
            <w:hideMark/>
          </w:tcPr>
          <w:p w14:paraId="1BB72A1C"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South America</w:t>
            </w:r>
          </w:p>
        </w:tc>
      </w:tr>
      <w:tr w:rsidR="00E4567F" w:rsidRPr="00E4567F" w14:paraId="6C30D2F4" w14:textId="77777777" w:rsidTr="00E4567F">
        <w:trPr>
          <w:tblCellSpacing w:w="15" w:type="dxa"/>
        </w:trPr>
        <w:tc>
          <w:tcPr>
            <w:tcW w:w="982" w:type="pct"/>
            <w:vAlign w:val="center"/>
            <w:hideMark/>
          </w:tcPr>
          <w:p w14:paraId="49F2A51C" w14:textId="77777777" w:rsidR="00E4567F" w:rsidRPr="00E4567F" w:rsidRDefault="00FA1C1A" w:rsidP="00E4567F">
            <w:pPr>
              <w:rPr>
                <w:rFonts w:eastAsia="Times New Roman" w:cs="Arial"/>
                <w:sz w:val="16"/>
                <w:szCs w:val="16"/>
                <w:lang w:eastAsia="en-ZA"/>
              </w:rPr>
            </w:pPr>
            <w:hyperlink r:id="rId101" w:history="1">
              <w:r w:rsidR="00E4567F" w:rsidRPr="00E4567F">
                <w:rPr>
                  <w:rFonts w:eastAsia="Times New Roman" w:cs="Arial"/>
                  <w:color w:val="0000FF"/>
                  <w:sz w:val="16"/>
                  <w:szCs w:val="16"/>
                  <w:u w:val="single"/>
                  <w:lang w:eastAsia="en-ZA"/>
                </w:rPr>
                <w:t>Philippines</w:t>
              </w:r>
            </w:hyperlink>
          </w:p>
        </w:tc>
        <w:tc>
          <w:tcPr>
            <w:tcW w:w="378" w:type="pct"/>
            <w:vAlign w:val="center"/>
            <w:hideMark/>
          </w:tcPr>
          <w:p w14:paraId="7CB4ECF9"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919.29</w:t>
            </w:r>
          </w:p>
        </w:tc>
        <w:tc>
          <w:tcPr>
            <w:tcW w:w="226" w:type="pct"/>
            <w:vAlign w:val="center"/>
            <w:hideMark/>
          </w:tcPr>
          <w:p w14:paraId="43F40970"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29</w:t>
            </w:r>
          </w:p>
        </w:tc>
        <w:tc>
          <w:tcPr>
            <w:tcW w:w="378" w:type="pct"/>
            <w:vAlign w:val="center"/>
            <w:hideMark/>
          </w:tcPr>
          <w:p w14:paraId="041AE6A2"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983.12</w:t>
            </w:r>
          </w:p>
        </w:tc>
        <w:tc>
          <w:tcPr>
            <w:tcW w:w="226" w:type="pct"/>
            <w:vAlign w:val="center"/>
            <w:hideMark/>
          </w:tcPr>
          <w:p w14:paraId="170E7945"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29</w:t>
            </w:r>
          </w:p>
        </w:tc>
        <w:tc>
          <w:tcPr>
            <w:tcW w:w="317" w:type="pct"/>
            <w:vAlign w:val="center"/>
            <w:hideMark/>
          </w:tcPr>
          <w:p w14:paraId="214F0A2F"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0.680 %</w:t>
            </w:r>
          </w:p>
        </w:tc>
        <w:tc>
          <w:tcPr>
            <w:tcW w:w="263" w:type="pct"/>
            <w:vAlign w:val="center"/>
            <w:hideMark/>
          </w:tcPr>
          <w:p w14:paraId="704676CD"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66.3</w:t>
            </w:r>
          </w:p>
        </w:tc>
        <w:tc>
          <w:tcPr>
            <w:tcW w:w="378" w:type="pct"/>
            <w:vAlign w:val="center"/>
            <w:hideMark/>
          </w:tcPr>
          <w:p w14:paraId="5A488C7C"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3.22</w:t>
            </w:r>
          </w:p>
        </w:tc>
        <w:tc>
          <w:tcPr>
            <w:tcW w:w="543" w:type="pct"/>
            <w:vAlign w:val="center"/>
            <w:hideMark/>
          </w:tcPr>
          <w:p w14:paraId="2C424E2F"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8,900</w:t>
            </w:r>
          </w:p>
        </w:tc>
        <w:tc>
          <w:tcPr>
            <w:tcW w:w="612" w:type="pct"/>
            <w:vAlign w:val="center"/>
            <w:hideMark/>
          </w:tcPr>
          <w:p w14:paraId="06BE3273"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124</w:t>
            </w:r>
          </w:p>
        </w:tc>
        <w:tc>
          <w:tcPr>
            <w:tcW w:w="570" w:type="pct"/>
            <w:vAlign w:val="center"/>
            <w:hideMark/>
          </w:tcPr>
          <w:p w14:paraId="49A2234B"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Asia</w:t>
            </w:r>
          </w:p>
        </w:tc>
      </w:tr>
      <w:tr w:rsidR="00E4567F" w:rsidRPr="00E4567F" w14:paraId="62839CE4" w14:textId="77777777" w:rsidTr="00E4567F">
        <w:trPr>
          <w:tblCellSpacing w:w="15" w:type="dxa"/>
        </w:trPr>
        <w:tc>
          <w:tcPr>
            <w:tcW w:w="982" w:type="pct"/>
            <w:vAlign w:val="center"/>
            <w:hideMark/>
          </w:tcPr>
          <w:p w14:paraId="2819CB42" w14:textId="77777777" w:rsidR="00E4567F" w:rsidRPr="00E4567F" w:rsidRDefault="00FA1C1A" w:rsidP="00E4567F">
            <w:pPr>
              <w:rPr>
                <w:rFonts w:eastAsia="Times New Roman" w:cs="Arial"/>
                <w:sz w:val="16"/>
                <w:szCs w:val="16"/>
                <w:lang w:eastAsia="en-ZA"/>
              </w:rPr>
            </w:pPr>
            <w:hyperlink r:id="rId102" w:history="1">
              <w:r w:rsidR="00E4567F" w:rsidRPr="00E4567F">
                <w:rPr>
                  <w:rFonts w:eastAsia="Times New Roman" w:cs="Arial"/>
                  <w:color w:val="0000FF"/>
                  <w:sz w:val="16"/>
                  <w:szCs w:val="16"/>
                  <w:u w:val="single"/>
                  <w:lang w:eastAsia="en-ZA"/>
                </w:rPr>
                <w:t>Malaysia</w:t>
              </w:r>
            </w:hyperlink>
          </w:p>
        </w:tc>
        <w:tc>
          <w:tcPr>
            <w:tcW w:w="378" w:type="pct"/>
            <w:vAlign w:val="center"/>
            <w:hideMark/>
          </w:tcPr>
          <w:p w14:paraId="00977D1F"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903.70</w:t>
            </w:r>
          </w:p>
        </w:tc>
        <w:tc>
          <w:tcPr>
            <w:tcW w:w="226" w:type="pct"/>
            <w:vAlign w:val="center"/>
            <w:hideMark/>
          </w:tcPr>
          <w:p w14:paraId="4EA7AF14"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30</w:t>
            </w:r>
          </w:p>
        </w:tc>
        <w:tc>
          <w:tcPr>
            <w:tcW w:w="378" w:type="pct"/>
            <w:vAlign w:val="center"/>
            <w:hideMark/>
          </w:tcPr>
          <w:p w14:paraId="11F4818A"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969.04</w:t>
            </w:r>
          </w:p>
        </w:tc>
        <w:tc>
          <w:tcPr>
            <w:tcW w:w="226" w:type="pct"/>
            <w:vAlign w:val="center"/>
            <w:hideMark/>
          </w:tcPr>
          <w:p w14:paraId="6C1A3FF4"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30</w:t>
            </w:r>
          </w:p>
        </w:tc>
        <w:tc>
          <w:tcPr>
            <w:tcW w:w="317" w:type="pct"/>
            <w:vAlign w:val="center"/>
            <w:hideMark/>
          </w:tcPr>
          <w:p w14:paraId="46147604"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0.670 %</w:t>
            </w:r>
          </w:p>
        </w:tc>
        <w:tc>
          <w:tcPr>
            <w:tcW w:w="263" w:type="pct"/>
            <w:vAlign w:val="center"/>
            <w:hideMark/>
          </w:tcPr>
          <w:p w14:paraId="1A005365"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14.1</w:t>
            </w:r>
          </w:p>
        </w:tc>
        <w:tc>
          <w:tcPr>
            <w:tcW w:w="378" w:type="pct"/>
            <w:vAlign w:val="center"/>
            <w:hideMark/>
          </w:tcPr>
          <w:p w14:paraId="198BF84D"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3.50</w:t>
            </w:r>
          </w:p>
        </w:tc>
        <w:tc>
          <w:tcPr>
            <w:tcW w:w="543" w:type="pct"/>
            <w:vAlign w:val="center"/>
            <w:hideMark/>
          </w:tcPr>
          <w:p w14:paraId="29C154B3"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29,048</w:t>
            </w:r>
          </w:p>
        </w:tc>
        <w:tc>
          <w:tcPr>
            <w:tcW w:w="612" w:type="pct"/>
            <w:vAlign w:val="center"/>
            <w:hideMark/>
          </w:tcPr>
          <w:p w14:paraId="78DB2FBD"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57</w:t>
            </w:r>
          </w:p>
        </w:tc>
        <w:tc>
          <w:tcPr>
            <w:tcW w:w="570" w:type="pct"/>
            <w:vAlign w:val="center"/>
            <w:hideMark/>
          </w:tcPr>
          <w:p w14:paraId="0BC36844"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Asia</w:t>
            </w:r>
          </w:p>
        </w:tc>
      </w:tr>
      <w:tr w:rsidR="00E4567F" w:rsidRPr="00E4567F" w14:paraId="04760798" w14:textId="77777777" w:rsidTr="00E4567F">
        <w:trPr>
          <w:tblCellSpacing w:w="15" w:type="dxa"/>
        </w:trPr>
        <w:tc>
          <w:tcPr>
            <w:tcW w:w="982" w:type="pct"/>
            <w:vAlign w:val="center"/>
            <w:hideMark/>
          </w:tcPr>
          <w:p w14:paraId="6E26CCC3" w14:textId="77777777" w:rsidR="00E4567F" w:rsidRPr="00E4567F" w:rsidRDefault="00FA1C1A" w:rsidP="00E4567F">
            <w:pPr>
              <w:rPr>
                <w:rFonts w:eastAsia="Times New Roman" w:cs="Arial"/>
                <w:sz w:val="16"/>
                <w:szCs w:val="16"/>
                <w:lang w:eastAsia="en-ZA"/>
              </w:rPr>
            </w:pPr>
            <w:hyperlink r:id="rId103" w:history="1">
              <w:r w:rsidR="00E4567F" w:rsidRPr="00E4567F">
                <w:rPr>
                  <w:rFonts w:eastAsia="Times New Roman" w:cs="Arial"/>
                  <w:color w:val="0000FF"/>
                  <w:sz w:val="16"/>
                  <w:szCs w:val="16"/>
                  <w:u w:val="single"/>
                  <w:lang w:eastAsia="en-ZA"/>
                </w:rPr>
                <w:t>Bangladesh</w:t>
              </w:r>
            </w:hyperlink>
          </w:p>
        </w:tc>
        <w:tc>
          <w:tcPr>
            <w:tcW w:w="378" w:type="pct"/>
            <w:vAlign w:val="center"/>
            <w:hideMark/>
          </w:tcPr>
          <w:p w14:paraId="618A514B"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870.79</w:t>
            </w:r>
          </w:p>
        </w:tc>
        <w:tc>
          <w:tcPr>
            <w:tcW w:w="226" w:type="pct"/>
            <w:vAlign w:val="center"/>
            <w:hideMark/>
          </w:tcPr>
          <w:p w14:paraId="125D9F36"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31</w:t>
            </w:r>
          </w:p>
        </w:tc>
        <w:tc>
          <w:tcPr>
            <w:tcW w:w="378" w:type="pct"/>
            <w:vAlign w:val="center"/>
            <w:hideMark/>
          </w:tcPr>
          <w:p w14:paraId="2CB1A2D9"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953.39</w:t>
            </w:r>
          </w:p>
        </w:tc>
        <w:tc>
          <w:tcPr>
            <w:tcW w:w="226" w:type="pct"/>
            <w:vAlign w:val="center"/>
            <w:hideMark/>
          </w:tcPr>
          <w:p w14:paraId="35C13C91"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31</w:t>
            </w:r>
          </w:p>
        </w:tc>
        <w:tc>
          <w:tcPr>
            <w:tcW w:w="317" w:type="pct"/>
            <w:vAlign w:val="center"/>
            <w:hideMark/>
          </w:tcPr>
          <w:p w14:paraId="513D696E"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0.659 %</w:t>
            </w:r>
          </w:p>
        </w:tc>
        <w:tc>
          <w:tcPr>
            <w:tcW w:w="263" w:type="pct"/>
            <w:vAlign w:val="center"/>
            <w:hideMark/>
          </w:tcPr>
          <w:p w14:paraId="3C028A3C"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15.7</w:t>
            </w:r>
          </w:p>
        </w:tc>
        <w:tc>
          <w:tcPr>
            <w:tcW w:w="378" w:type="pct"/>
            <w:vAlign w:val="center"/>
            <w:hideMark/>
          </w:tcPr>
          <w:p w14:paraId="487E0181"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4.60</w:t>
            </w:r>
          </w:p>
        </w:tc>
        <w:tc>
          <w:tcPr>
            <w:tcW w:w="543" w:type="pct"/>
            <w:vAlign w:val="center"/>
            <w:hideMark/>
          </w:tcPr>
          <w:p w14:paraId="250C864F"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5,733</w:t>
            </w:r>
          </w:p>
        </w:tc>
        <w:tc>
          <w:tcPr>
            <w:tcW w:w="612" w:type="pct"/>
            <w:vAlign w:val="center"/>
            <w:hideMark/>
          </w:tcPr>
          <w:p w14:paraId="6C89535F"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139</w:t>
            </w:r>
          </w:p>
        </w:tc>
        <w:tc>
          <w:tcPr>
            <w:tcW w:w="570" w:type="pct"/>
            <w:vAlign w:val="center"/>
            <w:hideMark/>
          </w:tcPr>
          <w:p w14:paraId="6B505912"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Asia</w:t>
            </w:r>
          </w:p>
        </w:tc>
      </w:tr>
      <w:tr w:rsidR="00E4567F" w:rsidRPr="00E4567F" w14:paraId="3D047B51" w14:textId="77777777" w:rsidTr="00E4567F">
        <w:trPr>
          <w:tblCellSpacing w:w="15" w:type="dxa"/>
        </w:trPr>
        <w:tc>
          <w:tcPr>
            <w:tcW w:w="982" w:type="pct"/>
            <w:vAlign w:val="center"/>
            <w:hideMark/>
          </w:tcPr>
          <w:p w14:paraId="3F0E1607" w14:textId="77777777" w:rsidR="00E4567F" w:rsidRPr="00E4567F" w:rsidRDefault="00FA1C1A" w:rsidP="00E4567F">
            <w:pPr>
              <w:rPr>
                <w:rFonts w:eastAsia="Times New Roman" w:cs="Arial"/>
                <w:sz w:val="16"/>
                <w:szCs w:val="16"/>
                <w:lang w:eastAsia="en-ZA"/>
              </w:rPr>
            </w:pPr>
            <w:hyperlink r:id="rId104" w:history="1">
              <w:r w:rsidR="00E4567F" w:rsidRPr="00E4567F">
                <w:rPr>
                  <w:rFonts w:eastAsia="Times New Roman" w:cs="Arial"/>
                  <w:color w:val="0000FF"/>
                  <w:sz w:val="16"/>
                  <w:szCs w:val="16"/>
                  <w:u w:val="single"/>
                  <w:lang w:eastAsia="en-ZA"/>
                </w:rPr>
                <w:t>South Africa</w:t>
              </w:r>
            </w:hyperlink>
          </w:p>
        </w:tc>
        <w:tc>
          <w:tcPr>
            <w:tcW w:w="378" w:type="pct"/>
            <w:vAlign w:val="center"/>
            <w:hideMark/>
          </w:tcPr>
          <w:p w14:paraId="1A6FF325"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792.33</w:t>
            </w:r>
          </w:p>
        </w:tc>
        <w:tc>
          <w:tcPr>
            <w:tcW w:w="226" w:type="pct"/>
            <w:vAlign w:val="center"/>
            <w:hideMark/>
          </w:tcPr>
          <w:p w14:paraId="53CF9BCC"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32</w:t>
            </w:r>
          </w:p>
        </w:tc>
        <w:tc>
          <w:tcPr>
            <w:tcW w:w="378" w:type="pct"/>
            <w:vAlign w:val="center"/>
            <w:hideMark/>
          </w:tcPr>
          <w:p w14:paraId="5E98B447"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861.93</w:t>
            </w:r>
          </w:p>
        </w:tc>
        <w:tc>
          <w:tcPr>
            <w:tcW w:w="226" w:type="pct"/>
            <w:vAlign w:val="center"/>
            <w:hideMark/>
          </w:tcPr>
          <w:p w14:paraId="2348F976"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32</w:t>
            </w:r>
          </w:p>
        </w:tc>
        <w:tc>
          <w:tcPr>
            <w:tcW w:w="317" w:type="pct"/>
            <w:vAlign w:val="center"/>
            <w:hideMark/>
          </w:tcPr>
          <w:p w14:paraId="4196EC66"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0.596 %</w:t>
            </w:r>
          </w:p>
        </w:tc>
        <w:tc>
          <w:tcPr>
            <w:tcW w:w="263" w:type="pct"/>
            <w:vAlign w:val="center"/>
            <w:hideMark/>
          </w:tcPr>
          <w:p w14:paraId="55F7D84D"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91.5</w:t>
            </w:r>
          </w:p>
        </w:tc>
        <w:tc>
          <w:tcPr>
            <w:tcW w:w="378" w:type="pct"/>
            <w:vAlign w:val="center"/>
            <w:hideMark/>
          </w:tcPr>
          <w:p w14:paraId="2031D43F"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5.00</w:t>
            </w:r>
          </w:p>
        </w:tc>
        <w:tc>
          <w:tcPr>
            <w:tcW w:w="543" w:type="pct"/>
            <w:vAlign w:val="center"/>
            <w:hideMark/>
          </w:tcPr>
          <w:p w14:paraId="32A8394C"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14,239</w:t>
            </w:r>
          </w:p>
        </w:tc>
        <w:tc>
          <w:tcPr>
            <w:tcW w:w="612" w:type="pct"/>
            <w:vAlign w:val="center"/>
            <w:hideMark/>
          </w:tcPr>
          <w:p w14:paraId="7AAAEC3A"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93</w:t>
            </w:r>
          </w:p>
        </w:tc>
        <w:tc>
          <w:tcPr>
            <w:tcW w:w="570" w:type="pct"/>
            <w:vAlign w:val="center"/>
            <w:hideMark/>
          </w:tcPr>
          <w:p w14:paraId="0A356230"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Africa</w:t>
            </w:r>
          </w:p>
        </w:tc>
      </w:tr>
      <w:tr w:rsidR="00E4567F" w:rsidRPr="00E4567F" w14:paraId="574E2FC2" w14:textId="77777777" w:rsidTr="00E4567F">
        <w:trPr>
          <w:tblCellSpacing w:w="15" w:type="dxa"/>
        </w:trPr>
        <w:tc>
          <w:tcPr>
            <w:tcW w:w="982" w:type="pct"/>
            <w:vAlign w:val="center"/>
            <w:hideMark/>
          </w:tcPr>
          <w:p w14:paraId="6FFBAEE2" w14:textId="77777777" w:rsidR="00E4567F" w:rsidRPr="00E4567F" w:rsidRDefault="00FA1C1A" w:rsidP="00E4567F">
            <w:pPr>
              <w:rPr>
                <w:rFonts w:eastAsia="Times New Roman" w:cs="Arial"/>
                <w:sz w:val="16"/>
                <w:szCs w:val="16"/>
                <w:lang w:eastAsia="en-ZA"/>
              </w:rPr>
            </w:pPr>
            <w:hyperlink r:id="rId105" w:history="1">
              <w:r w:rsidR="00E4567F" w:rsidRPr="00E4567F">
                <w:rPr>
                  <w:rFonts w:eastAsia="Times New Roman" w:cs="Arial"/>
                  <w:color w:val="0000FF"/>
                  <w:sz w:val="16"/>
                  <w:szCs w:val="16"/>
                  <w:u w:val="single"/>
                  <w:lang w:eastAsia="en-ZA"/>
                </w:rPr>
                <w:t>Colombia</w:t>
              </w:r>
            </w:hyperlink>
          </w:p>
        </w:tc>
        <w:tc>
          <w:tcPr>
            <w:tcW w:w="378" w:type="pct"/>
            <w:vAlign w:val="center"/>
            <w:hideMark/>
          </w:tcPr>
          <w:p w14:paraId="257119DA"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729.06</w:t>
            </w:r>
          </w:p>
        </w:tc>
        <w:tc>
          <w:tcPr>
            <w:tcW w:w="226" w:type="pct"/>
            <w:vAlign w:val="center"/>
            <w:hideMark/>
          </w:tcPr>
          <w:p w14:paraId="7EF97C82"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33</w:t>
            </w:r>
          </w:p>
        </w:tc>
        <w:tc>
          <w:tcPr>
            <w:tcW w:w="378" w:type="pct"/>
            <w:vAlign w:val="center"/>
            <w:hideMark/>
          </w:tcPr>
          <w:p w14:paraId="442A8FE5"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812.80</w:t>
            </w:r>
          </w:p>
        </w:tc>
        <w:tc>
          <w:tcPr>
            <w:tcW w:w="226" w:type="pct"/>
            <w:vAlign w:val="center"/>
            <w:hideMark/>
          </w:tcPr>
          <w:p w14:paraId="2FDF2A05"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33</w:t>
            </w:r>
          </w:p>
        </w:tc>
        <w:tc>
          <w:tcPr>
            <w:tcW w:w="317" w:type="pct"/>
            <w:vAlign w:val="center"/>
            <w:hideMark/>
          </w:tcPr>
          <w:p w14:paraId="1F5BD5E3"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0.562 %</w:t>
            </w:r>
          </w:p>
        </w:tc>
        <w:tc>
          <w:tcPr>
            <w:tcW w:w="263" w:type="pct"/>
            <w:vAlign w:val="center"/>
            <w:hideMark/>
          </w:tcPr>
          <w:p w14:paraId="212937AA"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49.1</w:t>
            </w:r>
          </w:p>
        </w:tc>
        <w:tc>
          <w:tcPr>
            <w:tcW w:w="378" w:type="pct"/>
            <w:vAlign w:val="center"/>
            <w:hideMark/>
          </w:tcPr>
          <w:p w14:paraId="45493233"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7.61</w:t>
            </w:r>
          </w:p>
        </w:tc>
        <w:tc>
          <w:tcPr>
            <w:tcW w:w="543" w:type="pct"/>
            <w:vAlign w:val="center"/>
            <w:hideMark/>
          </w:tcPr>
          <w:p w14:paraId="2417A645"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15,922</w:t>
            </w:r>
          </w:p>
        </w:tc>
        <w:tc>
          <w:tcPr>
            <w:tcW w:w="612" w:type="pct"/>
            <w:vAlign w:val="center"/>
            <w:hideMark/>
          </w:tcPr>
          <w:p w14:paraId="3A527371"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87</w:t>
            </w:r>
          </w:p>
        </w:tc>
        <w:tc>
          <w:tcPr>
            <w:tcW w:w="570" w:type="pct"/>
            <w:vAlign w:val="center"/>
            <w:hideMark/>
          </w:tcPr>
          <w:p w14:paraId="08238FBE"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South America</w:t>
            </w:r>
          </w:p>
        </w:tc>
      </w:tr>
      <w:tr w:rsidR="00E4567F" w:rsidRPr="00E4567F" w14:paraId="31E2B8E5" w14:textId="77777777" w:rsidTr="00E4567F">
        <w:trPr>
          <w:tblCellSpacing w:w="15" w:type="dxa"/>
        </w:trPr>
        <w:tc>
          <w:tcPr>
            <w:tcW w:w="982" w:type="pct"/>
            <w:vAlign w:val="center"/>
            <w:hideMark/>
          </w:tcPr>
          <w:p w14:paraId="6D8B071B" w14:textId="77777777" w:rsidR="00E4567F" w:rsidRPr="00E4567F" w:rsidRDefault="00FA1C1A" w:rsidP="00E4567F">
            <w:pPr>
              <w:rPr>
                <w:rFonts w:eastAsia="Times New Roman" w:cs="Arial"/>
                <w:sz w:val="16"/>
                <w:szCs w:val="16"/>
                <w:lang w:eastAsia="en-ZA"/>
              </w:rPr>
            </w:pPr>
            <w:hyperlink r:id="rId106" w:history="1">
              <w:r w:rsidR="00E4567F" w:rsidRPr="00E4567F">
                <w:rPr>
                  <w:rFonts w:eastAsia="Times New Roman" w:cs="Arial"/>
                  <w:color w:val="0000FF"/>
                  <w:sz w:val="16"/>
                  <w:szCs w:val="16"/>
                  <w:u w:val="single"/>
                  <w:lang w:eastAsia="en-ZA"/>
                </w:rPr>
                <w:t>United Arab Emirates</w:t>
              </w:r>
            </w:hyperlink>
          </w:p>
        </w:tc>
        <w:tc>
          <w:tcPr>
            <w:tcW w:w="378" w:type="pct"/>
            <w:vAlign w:val="center"/>
            <w:hideMark/>
          </w:tcPr>
          <w:p w14:paraId="099C8AA7"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660.34</w:t>
            </w:r>
          </w:p>
        </w:tc>
        <w:tc>
          <w:tcPr>
            <w:tcW w:w="226" w:type="pct"/>
            <w:vAlign w:val="center"/>
            <w:hideMark/>
          </w:tcPr>
          <w:p w14:paraId="557FD540"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34</w:t>
            </w:r>
          </w:p>
        </w:tc>
        <w:tc>
          <w:tcPr>
            <w:tcW w:w="378" w:type="pct"/>
            <w:vAlign w:val="center"/>
            <w:hideMark/>
          </w:tcPr>
          <w:p w14:paraId="2424D503"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699.44</w:t>
            </w:r>
          </w:p>
        </w:tc>
        <w:tc>
          <w:tcPr>
            <w:tcW w:w="226" w:type="pct"/>
            <w:vAlign w:val="center"/>
            <w:hideMark/>
          </w:tcPr>
          <w:p w14:paraId="340CA8FC"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34</w:t>
            </w:r>
          </w:p>
        </w:tc>
        <w:tc>
          <w:tcPr>
            <w:tcW w:w="317" w:type="pct"/>
            <w:vAlign w:val="center"/>
            <w:hideMark/>
          </w:tcPr>
          <w:p w14:paraId="64BB9DAB"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0.484 %</w:t>
            </w:r>
          </w:p>
        </w:tc>
        <w:tc>
          <w:tcPr>
            <w:tcW w:w="263" w:type="pct"/>
            <w:vAlign w:val="center"/>
            <w:hideMark/>
          </w:tcPr>
          <w:p w14:paraId="0C9C85F6"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113</w:t>
            </w:r>
          </w:p>
        </w:tc>
        <w:tc>
          <w:tcPr>
            <w:tcW w:w="378" w:type="pct"/>
            <w:vAlign w:val="center"/>
            <w:hideMark/>
          </w:tcPr>
          <w:p w14:paraId="6BCBE3DD"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2.24</w:t>
            </w:r>
          </w:p>
        </w:tc>
        <w:tc>
          <w:tcPr>
            <w:tcW w:w="543" w:type="pct"/>
            <w:vAlign w:val="center"/>
            <w:hideMark/>
          </w:tcPr>
          <w:p w14:paraId="07F189A7"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74,245</w:t>
            </w:r>
          </w:p>
        </w:tc>
        <w:tc>
          <w:tcPr>
            <w:tcW w:w="612" w:type="pct"/>
            <w:vAlign w:val="center"/>
            <w:hideMark/>
          </w:tcPr>
          <w:p w14:paraId="583A8297"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6</w:t>
            </w:r>
          </w:p>
        </w:tc>
        <w:tc>
          <w:tcPr>
            <w:tcW w:w="570" w:type="pct"/>
            <w:vAlign w:val="center"/>
            <w:hideMark/>
          </w:tcPr>
          <w:p w14:paraId="57B0BA2A"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Asia</w:t>
            </w:r>
          </w:p>
        </w:tc>
      </w:tr>
      <w:tr w:rsidR="00E4567F" w:rsidRPr="00E4567F" w14:paraId="208628B5" w14:textId="77777777" w:rsidTr="00E4567F">
        <w:trPr>
          <w:tblCellSpacing w:w="15" w:type="dxa"/>
        </w:trPr>
        <w:tc>
          <w:tcPr>
            <w:tcW w:w="982" w:type="pct"/>
            <w:vAlign w:val="center"/>
            <w:hideMark/>
          </w:tcPr>
          <w:p w14:paraId="61DC08A6" w14:textId="77777777" w:rsidR="00E4567F" w:rsidRPr="00E4567F" w:rsidRDefault="00FA1C1A" w:rsidP="00E4567F">
            <w:pPr>
              <w:rPr>
                <w:rFonts w:eastAsia="Times New Roman" w:cs="Arial"/>
                <w:sz w:val="16"/>
                <w:szCs w:val="16"/>
                <w:lang w:eastAsia="en-ZA"/>
              </w:rPr>
            </w:pPr>
            <w:hyperlink r:id="rId107" w:history="1">
              <w:r w:rsidR="00E4567F" w:rsidRPr="00E4567F">
                <w:rPr>
                  <w:rFonts w:eastAsia="Times New Roman" w:cs="Arial"/>
                  <w:color w:val="0000FF"/>
                  <w:sz w:val="16"/>
                  <w:szCs w:val="16"/>
                  <w:u w:val="single"/>
                  <w:lang w:eastAsia="en-ZA"/>
                </w:rPr>
                <w:t>Switzerland</w:t>
              </w:r>
            </w:hyperlink>
          </w:p>
        </w:tc>
        <w:tc>
          <w:tcPr>
            <w:tcW w:w="378" w:type="pct"/>
            <w:vAlign w:val="center"/>
            <w:hideMark/>
          </w:tcPr>
          <w:p w14:paraId="5144B1E1"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630.36</w:t>
            </w:r>
          </w:p>
        </w:tc>
        <w:tc>
          <w:tcPr>
            <w:tcW w:w="226" w:type="pct"/>
            <w:vAlign w:val="center"/>
            <w:hideMark/>
          </w:tcPr>
          <w:p w14:paraId="5368DBF4"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35</w:t>
            </w:r>
          </w:p>
        </w:tc>
        <w:tc>
          <w:tcPr>
            <w:tcW w:w="378" w:type="pct"/>
            <w:vAlign w:val="center"/>
            <w:hideMark/>
          </w:tcPr>
          <w:p w14:paraId="78CB09F6"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677.27</w:t>
            </w:r>
          </w:p>
        </w:tc>
        <w:tc>
          <w:tcPr>
            <w:tcW w:w="226" w:type="pct"/>
            <w:vAlign w:val="center"/>
            <w:hideMark/>
          </w:tcPr>
          <w:p w14:paraId="204A18E8"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35</w:t>
            </w:r>
          </w:p>
        </w:tc>
        <w:tc>
          <w:tcPr>
            <w:tcW w:w="317" w:type="pct"/>
            <w:vAlign w:val="center"/>
            <w:hideMark/>
          </w:tcPr>
          <w:p w14:paraId="55AA3D8B"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0.468 %</w:t>
            </w:r>
          </w:p>
        </w:tc>
        <w:tc>
          <w:tcPr>
            <w:tcW w:w="263" w:type="pct"/>
            <w:vAlign w:val="center"/>
            <w:hideMark/>
          </w:tcPr>
          <w:p w14:paraId="7F07DF59"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22.2</w:t>
            </w:r>
          </w:p>
        </w:tc>
        <w:tc>
          <w:tcPr>
            <w:tcW w:w="378" w:type="pct"/>
            <w:vAlign w:val="center"/>
            <w:hideMark/>
          </w:tcPr>
          <w:p w14:paraId="6C106213"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3.71</w:t>
            </w:r>
          </w:p>
        </w:tc>
        <w:tc>
          <w:tcPr>
            <w:tcW w:w="543" w:type="pct"/>
            <w:vAlign w:val="center"/>
            <w:hideMark/>
          </w:tcPr>
          <w:p w14:paraId="4B8F5FC6"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78,112</w:t>
            </w:r>
          </w:p>
        </w:tc>
        <w:tc>
          <w:tcPr>
            <w:tcW w:w="612" w:type="pct"/>
            <w:vAlign w:val="center"/>
            <w:hideMark/>
          </w:tcPr>
          <w:p w14:paraId="565A05EC"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5</w:t>
            </w:r>
          </w:p>
        </w:tc>
        <w:tc>
          <w:tcPr>
            <w:tcW w:w="570" w:type="pct"/>
            <w:vAlign w:val="center"/>
            <w:hideMark/>
          </w:tcPr>
          <w:p w14:paraId="56A20427"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Europe</w:t>
            </w:r>
          </w:p>
        </w:tc>
      </w:tr>
      <w:tr w:rsidR="00E4567F" w:rsidRPr="00E4567F" w14:paraId="3FDD714B" w14:textId="77777777" w:rsidTr="00E4567F">
        <w:trPr>
          <w:tblCellSpacing w:w="15" w:type="dxa"/>
        </w:trPr>
        <w:tc>
          <w:tcPr>
            <w:tcW w:w="982" w:type="pct"/>
            <w:vAlign w:val="center"/>
            <w:hideMark/>
          </w:tcPr>
          <w:p w14:paraId="55D467BE" w14:textId="77777777" w:rsidR="00E4567F" w:rsidRPr="00E4567F" w:rsidRDefault="00FA1C1A" w:rsidP="00E4567F">
            <w:pPr>
              <w:rPr>
                <w:rFonts w:eastAsia="Times New Roman" w:cs="Arial"/>
                <w:sz w:val="16"/>
                <w:szCs w:val="16"/>
                <w:lang w:eastAsia="en-ZA"/>
              </w:rPr>
            </w:pPr>
            <w:hyperlink r:id="rId108" w:history="1">
              <w:r w:rsidR="00E4567F" w:rsidRPr="00E4567F">
                <w:rPr>
                  <w:rFonts w:eastAsia="Times New Roman" w:cs="Arial"/>
                  <w:color w:val="0000FF"/>
                  <w:sz w:val="16"/>
                  <w:szCs w:val="16"/>
                  <w:u w:val="single"/>
                  <w:lang w:eastAsia="en-ZA"/>
                </w:rPr>
                <w:t>Romania</w:t>
              </w:r>
            </w:hyperlink>
          </w:p>
        </w:tc>
        <w:tc>
          <w:tcPr>
            <w:tcW w:w="378" w:type="pct"/>
            <w:vAlign w:val="center"/>
            <w:hideMark/>
          </w:tcPr>
          <w:p w14:paraId="509CC282"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589.87</w:t>
            </w:r>
          </w:p>
        </w:tc>
        <w:tc>
          <w:tcPr>
            <w:tcW w:w="226" w:type="pct"/>
            <w:vAlign w:val="center"/>
            <w:hideMark/>
          </w:tcPr>
          <w:p w14:paraId="28DED0F1"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36</w:t>
            </w:r>
          </w:p>
        </w:tc>
        <w:tc>
          <w:tcPr>
            <w:tcW w:w="378" w:type="pct"/>
            <w:vAlign w:val="center"/>
            <w:hideMark/>
          </w:tcPr>
          <w:p w14:paraId="07026D9E"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653.90</w:t>
            </w:r>
          </w:p>
        </w:tc>
        <w:tc>
          <w:tcPr>
            <w:tcW w:w="226" w:type="pct"/>
            <w:vAlign w:val="center"/>
            <w:hideMark/>
          </w:tcPr>
          <w:p w14:paraId="0334057E"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36</w:t>
            </w:r>
          </w:p>
        </w:tc>
        <w:tc>
          <w:tcPr>
            <w:tcW w:w="317" w:type="pct"/>
            <w:vAlign w:val="center"/>
            <w:hideMark/>
          </w:tcPr>
          <w:p w14:paraId="7DC363FF"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0.452 %</w:t>
            </w:r>
          </w:p>
        </w:tc>
        <w:tc>
          <w:tcPr>
            <w:tcW w:w="263" w:type="pct"/>
            <w:vAlign w:val="center"/>
            <w:hideMark/>
          </w:tcPr>
          <w:p w14:paraId="4BE03ACE"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23.4</w:t>
            </w:r>
          </w:p>
        </w:tc>
        <w:tc>
          <w:tcPr>
            <w:tcW w:w="378" w:type="pct"/>
            <w:vAlign w:val="center"/>
            <w:hideMark/>
          </w:tcPr>
          <w:p w14:paraId="743CC37B"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7.00</w:t>
            </w:r>
          </w:p>
        </w:tc>
        <w:tc>
          <w:tcPr>
            <w:tcW w:w="543" w:type="pct"/>
            <w:vAlign w:val="center"/>
            <w:hideMark/>
          </w:tcPr>
          <w:p w14:paraId="5A242CEF"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33,833</w:t>
            </w:r>
          </w:p>
        </w:tc>
        <w:tc>
          <w:tcPr>
            <w:tcW w:w="612" w:type="pct"/>
            <w:vAlign w:val="center"/>
            <w:hideMark/>
          </w:tcPr>
          <w:p w14:paraId="38DCB25A"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51</w:t>
            </w:r>
          </w:p>
        </w:tc>
        <w:tc>
          <w:tcPr>
            <w:tcW w:w="570" w:type="pct"/>
            <w:vAlign w:val="center"/>
            <w:hideMark/>
          </w:tcPr>
          <w:p w14:paraId="05B30542"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Europe</w:t>
            </w:r>
          </w:p>
        </w:tc>
      </w:tr>
      <w:tr w:rsidR="00E4567F" w:rsidRPr="00E4567F" w14:paraId="064F3CFB" w14:textId="77777777" w:rsidTr="00E4567F">
        <w:trPr>
          <w:tblCellSpacing w:w="15" w:type="dxa"/>
        </w:trPr>
        <w:tc>
          <w:tcPr>
            <w:tcW w:w="982" w:type="pct"/>
            <w:vAlign w:val="center"/>
            <w:hideMark/>
          </w:tcPr>
          <w:p w14:paraId="2D502C8E" w14:textId="77777777" w:rsidR="00E4567F" w:rsidRPr="00E4567F" w:rsidRDefault="00FA1C1A" w:rsidP="00E4567F">
            <w:pPr>
              <w:rPr>
                <w:rFonts w:eastAsia="Times New Roman" w:cs="Arial"/>
                <w:sz w:val="16"/>
                <w:szCs w:val="16"/>
                <w:lang w:eastAsia="en-ZA"/>
              </w:rPr>
            </w:pPr>
            <w:hyperlink r:id="rId109" w:history="1">
              <w:r w:rsidR="00E4567F" w:rsidRPr="00E4567F">
                <w:rPr>
                  <w:rFonts w:eastAsia="Times New Roman" w:cs="Arial"/>
                  <w:color w:val="0000FF"/>
                  <w:sz w:val="16"/>
                  <w:szCs w:val="16"/>
                  <w:u w:val="single"/>
                  <w:lang w:eastAsia="en-ZA"/>
                </w:rPr>
                <w:t>Belgium</w:t>
              </w:r>
            </w:hyperlink>
          </w:p>
        </w:tc>
        <w:tc>
          <w:tcPr>
            <w:tcW w:w="378" w:type="pct"/>
            <w:vAlign w:val="center"/>
            <w:hideMark/>
          </w:tcPr>
          <w:p w14:paraId="77CA030C"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589.72</w:t>
            </w:r>
          </w:p>
        </w:tc>
        <w:tc>
          <w:tcPr>
            <w:tcW w:w="226" w:type="pct"/>
            <w:vAlign w:val="center"/>
            <w:hideMark/>
          </w:tcPr>
          <w:p w14:paraId="1BE3DDCB"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37</w:t>
            </w:r>
          </w:p>
        </w:tc>
        <w:tc>
          <w:tcPr>
            <w:tcW w:w="378" w:type="pct"/>
            <w:vAlign w:val="center"/>
            <w:hideMark/>
          </w:tcPr>
          <w:p w14:paraId="0FC08718"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645.40</w:t>
            </w:r>
          </w:p>
        </w:tc>
        <w:tc>
          <w:tcPr>
            <w:tcW w:w="226" w:type="pct"/>
            <w:vAlign w:val="center"/>
            <w:hideMark/>
          </w:tcPr>
          <w:p w14:paraId="680B6F18"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37</w:t>
            </w:r>
          </w:p>
        </w:tc>
        <w:tc>
          <w:tcPr>
            <w:tcW w:w="317" w:type="pct"/>
            <w:vAlign w:val="center"/>
            <w:hideMark/>
          </w:tcPr>
          <w:p w14:paraId="19B1E195"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0.446 %</w:t>
            </w:r>
          </w:p>
        </w:tc>
        <w:tc>
          <w:tcPr>
            <w:tcW w:w="263" w:type="pct"/>
            <w:vAlign w:val="center"/>
            <w:hideMark/>
          </w:tcPr>
          <w:p w14:paraId="5827E041"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8.50</w:t>
            </w:r>
          </w:p>
        </w:tc>
        <w:tc>
          <w:tcPr>
            <w:tcW w:w="378" w:type="pct"/>
            <w:vAlign w:val="center"/>
            <w:hideMark/>
          </w:tcPr>
          <w:p w14:paraId="0CD2F043"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5.64</w:t>
            </w:r>
          </w:p>
        </w:tc>
        <w:tc>
          <w:tcPr>
            <w:tcW w:w="543" w:type="pct"/>
            <w:vAlign w:val="center"/>
            <w:hideMark/>
          </w:tcPr>
          <w:p w14:paraId="1357FB3B"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55,919</w:t>
            </w:r>
          </w:p>
        </w:tc>
        <w:tc>
          <w:tcPr>
            <w:tcW w:w="612" w:type="pct"/>
            <w:vAlign w:val="center"/>
            <w:hideMark/>
          </w:tcPr>
          <w:p w14:paraId="314DC573"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20</w:t>
            </w:r>
          </w:p>
        </w:tc>
        <w:tc>
          <w:tcPr>
            <w:tcW w:w="570" w:type="pct"/>
            <w:vAlign w:val="center"/>
            <w:hideMark/>
          </w:tcPr>
          <w:p w14:paraId="0F9C9D67"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Europe</w:t>
            </w:r>
          </w:p>
        </w:tc>
      </w:tr>
      <w:tr w:rsidR="00E4567F" w:rsidRPr="00E4567F" w14:paraId="2874EAC4" w14:textId="77777777" w:rsidTr="00E4567F">
        <w:trPr>
          <w:tblCellSpacing w:w="15" w:type="dxa"/>
        </w:trPr>
        <w:tc>
          <w:tcPr>
            <w:tcW w:w="982" w:type="pct"/>
            <w:vAlign w:val="center"/>
            <w:hideMark/>
          </w:tcPr>
          <w:p w14:paraId="28E32461" w14:textId="77777777" w:rsidR="00E4567F" w:rsidRPr="00E4567F" w:rsidRDefault="00FA1C1A" w:rsidP="00E4567F">
            <w:pPr>
              <w:rPr>
                <w:rFonts w:eastAsia="Times New Roman" w:cs="Arial"/>
                <w:sz w:val="16"/>
                <w:szCs w:val="16"/>
                <w:lang w:eastAsia="en-ZA"/>
              </w:rPr>
            </w:pPr>
            <w:hyperlink r:id="rId110" w:history="1">
              <w:r w:rsidR="00E4567F" w:rsidRPr="00E4567F">
                <w:rPr>
                  <w:rFonts w:eastAsia="Times New Roman" w:cs="Arial"/>
                  <w:color w:val="0000FF"/>
                  <w:sz w:val="16"/>
                  <w:szCs w:val="16"/>
                  <w:u w:val="single"/>
                  <w:lang w:eastAsia="en-ZA"/>
                </w:rPr>
                <w:t>Singapore</w:t>
              </w:r>
            </w:hyperlink>
          </w:p>
        </w:tc>
        <w:tc>
          <w:tcPr>
            <w:tcW w:w="378" w:type="pct"/>
            <w:vAlign w:val="center"/>
            <w:hideMark/>
          </w:tcPr>
          <w:p w14:paraId="2CF763BF"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560.12</w:t>
            </w:r>
          </w:p>
        </w:tc>
        <w:tc>
          <w:tcPr>
            <w:tcW w:w="226" w:type="pct"/>
            <w:vAlign w:val="center"/>
            <w:hideMark/>
          </w:tcPr>
          <w:p w14:paraId="29BA6D4E"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39</w:t>
            </w:r>
          </w:p>
        </w:tc>
        <w:tc>
          <w:tcPr>
            <w:tcW w:w="378" w:type="pct"/>
            <w:vAlign w:val="center"/>
            <w:hideMark/>
          </w:tcPr>
          <w:p w14:paraId="700017C9"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615.29</w:t>
            </w:r>
          </w:p>
        </w:tc>
        <w:tc>
          <w:tcPr>
            <w:tcW w:w="226" w:type="pct"/>
            <w:vAlign w:val="center"/>
            <w:hideMark/>
          </w:tcPr>
          <w:p w14:paraId="4E9D5AAD"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38</w:t>
            </w:r>
          </w:p>
        </w:tc>
        <w:tc>
          <w:tcPr>
            <w:tcW w:w="317" w:type="pct"/>
            <w:vAlign w:val="center"/>
            <w:hideMark/>
          </w:tcPr>
          <w:p w14:paraId="05AC84FB"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0.425 %</w:t>
            </w:r>
          </w:p>
        </w:tc>
        <w:tc>
          <w:tcPr>
            <w:tcW w:w="263" w:type="pct"/>
            <w:vAlign w:val="center"/>
            <w:hideMark/>
          </w:tcPr>
          <w:p w14:paraId="46763466"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30.1</w:t>
            </w:r>
          </w:p>
        </w:tc>
        <w:tc>
          <w:tcPr>
            <w:tcW w:w="378" w:type="pct"/>
            <w:vAlign w:val="center"/>
            <w:hideMark/>
          </w:tcPr>
          <w:p w14:paraId="3FC51521"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6.03</w:t>
            </w:r>
          </w:p>
        </w:tc>
        <w:tc>
          <w:tcPr>
            <w:tcW w:w="543" w:type="pct"/>
            <w:vAlign w:val="center"/>
            <w:hideMark/>
          </w:tcPr>
          <w:p w14:paraId="06C8784C"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107,677</w:t>
            </w:r>
          </w:p>
        </w:tc>
        <w:tc>
          <w:tcPr>
            <w:tcW w:w="612" w:type="pct"/>
            <w:vAlign w:val="center"/>
            <w:hideMark/>
          </w:tcPr>
          <w:p w14:paraId="53BB9EE6"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3</w:t>
            </w:r>
          </w:p>
        </w:tc>
        <w:tc>
          <w:tcPr>
            <w:tcW w:w="570" w:type="pct"/>
            <w:vAlign w:val="center"/>
            <w:hideMark/>
          </w:tcPr>
          <w:p w14:paraId="5FCBCC99"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Asia</w:t>
            </w:r>
          </w:p>
        </w:tc>
      </w:tr>
      <w:tr w:rsidR="00E4567F" w:rsidRPr="00E4567F" w14:paraId="56CDFFB3" w14:textId="77777777" w:rsidTr="00E4567F">
        <w:trPr>
          <w:tblCellSpacing w:w="15" w:type="dxa"/>
        </w:trPr>
        <w:tc>
          <w:tcPr>
            <w:tcW w:w="982" w:type="pct"/>
            <w:vAlign w:val="center"/>
            <w:hideMark/>
          </w:tcPr>
          <w:p w14:paraId="285F2B3C" w14:textId="77777777" w:rsidR="00E4567F" w:rsidRPr="00E4567F" w:rsidRDefault="00FA1C1A" w:rsidP="00E4567F">
            <w:pPr>
              <w:rPr>
                <w:rFonts w:eastAsia="Times New Roman" w:cs="Arial"/>
                <w:sz w:val="16"/>
                <w:szCs w:val="16"/>
                <w:lang w:eastAsia="en-ZA"/>
              </w:rPr>
            </w:pPr>
            <w:hyperlink r:id="rId111" w:history="1">
              <w:r w:rsidR="00E4567F" w:rsidRPr="00E4567F">
                <w:rPr>
                  <w:rFonts w:eastAsia="Times New Roman" w:cs="Arial"/>
                  <w:color w:val="0000FF"/>
                  <w:sz w:val="16"/>
                  <w:szCs w:val="16"/>
                  <w:u w:val="single"/>
                  <w:lang w:eastAsia="en-ZA"/>
                </w:rPr>
                <w:t>Sweden</w:t>
              </w:r>
            </w:hyperlink>
          </w:p>
        </w:tc>
        <w:tc>
          <w:tcPr>
            <w:tcW w:w="378" w:type="pct"/>
            <w:vAlign w:val="center"/>
            <w:hideMark/>
          </w:tcPr>
          <w:p w14:paraId="660A61F4"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565.46</w:t>
            </w:r>
          </w:p>
        </w:tc>
        <w:tc>
          <w:tcPr>
            <w:tcW w:w="226" w:type="pct"/>
            <w:vAlign w:val="center"/>
            <w:hideMark/>
          </w:tcPr>
          <w:p w14:paraId="375CC095"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38</w:t>
            </w:r>
          </w:p>
        </w:tc>
        <w:tc>
          <w:tcPr>
            <w:tcW w:w="378" w:type="pct"/>
            <w:vAlign w:val="center"/>
            <w:hideMark/>
          </w:tcPr>
          <w:p w14:paraId="7C54E007"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609.48</w:t>
            </w:r>
          </w:p>
        </w:tc>
        <w:tc>
          <w:tcPr>
            <w:tcW w:w="226" w:type="pct"/>
            <w:vAlign w:val="center"/>
            <w:hideMark/>
          </w:tcPr>
          <w:p w14:paraId="5F236CD2"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39</w:t>
            </w:r>
          </w:p>
        </w:tc>
        <w:tc>
          <w:tcPr>
            <w:tcW w:w="317" w:type="pct"/>
            <w:vAlign w:val="center"/>
            <w:hideMark/>
          </w:tcPr>
          <w:p w14:paraId="6D128CED"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0.421 %</w:t>
            </w:r>
          </w:p>
        </w:tc>
        <w:tc>
          <w:tcPr>
            <w:tcW w:w="263" w:type="pct"/>
            <w:vAlign w:val="center"/>
            <w:hideMark/>
          </w:tcPr>
          <w:p w14:paraId="7BB55BBA"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5.82</w:t>
            </w:r>
          </w:p>
        </w:tc>
        <w:tc>
          <w:tcPr>
            <w:tcW w:w="378" w:type="pct"/>
            <w:vAlign w:val="center"/>
            <w:hideMark/>
          </w:tcPr>
          <w:p w14:paraId="778CE3AE"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4.04</w:t>
            </w:r>
          </w:p>
        </w:tc>
        <w:tc>
          <w:tcPr>
            <w:tcW w:w="543" w:type="pct"/>
            <w:vAlign w:val="center"/>
            <w:hideMark/>
          </w:tcPr>
          <w:p w14:paraId="730786D0"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57,425</w:t>
            </w:r>
          </w:p>
        </w:tc>
        <w:tc>
          <w:tcPr>
            <w:tcW w:w="612" w:type="pct"/>
            <w:vAlign w:val="center"/>
            <w:hideMark/>
          </w:tcPr>
          <w:p w14:paraId="02CBDC77"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19</w:t>
            </w:r>
          </w:p>
        </w:tc>
        <w:tc>
          <w:tcPr>
            <w:tcW w:w="570" w:type="pct"/>
            <w:vAlign w:val="center"/>
            <w:hideMark/>
          </w:tcPr>
          <w:p w14:paraId="61D5814B"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Europe</w:t>
            </w:r>
          </w:p>
        </w:tc>
      </w:tr>
      <w:tr w:rsidR="00E4567F" w:rsidRPr="00E4567F" w14:paraId="0FA33553" w14:textId="77777777" w:rsidTr="00E4567F">
        <w:trPr>
          <w:tblCellSpacing w:w="15" w:type="dxa"/>
        </w:trPr>
        <w:tc>
          <w:tcPr>
            <w:tcW w:w="982" w:type="pct"/>
            <w:vAlign w:val="center"/>
            <w:hideMark/>
          </w:tcPr>
          <w:p w14:paraId="37D7649F" w14:textId="77777777" w:rsidR="00E4567F" w:rsidRPr="00E4567F" w:rsidRDefault="00FA1C1A" w:rsidP="00E4567F">
            <w:pPr>
              <w:rPr>
                <w:rFonts w:eastAsia="Times New Roman" w:cs="Arial"/>
                <w:sz w:val="16"/>
                <w:szCs w:val="16"/>
                <w:lang w:eastAsia="en-ZA"/>
              </w:rPr>
            </w:pPr>
            <w:hyperlink r:id="rId112" w:history="1">
              <w:r w:rsidR="00E4567F" w:rsidRPr="00E4567F">
                <w:rPr>
                  <w:rFonts w:eastAsia="Times New Roman" w:cs="Arial"/>
                  <w:color w:val="0000FF"/>
                  <w:sz w:val="16"/>
                  <w:szCs w:val="16"/>
                  <w:u w:val="single"/>
                  <w:lang w:eastAsia="en-ZA"/>
                </w:rPr>
                <w:t>Ukraine</w:t>
              </w:r>
            </w:hyperlink>
          </w:p>
        </w:tc>
        <w:tc>
          <w:tcPr>
            <w:tcW w:w="378" w:type="pct"/>
            <w:vAlign w:val="center"/>
            <w:hideMark/>
          </w:tcPr>
          <w:p w14:paraId="5D3C057F"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545.00</w:t>
            </w:r>
          </w:p>
        </w:tc>
        <w:tc>
          <w:tcPr>
            <w:tcW w:w="226" w:type="pct"/>
            <w:vAlign w:val="center"/>
            <w:hideMark/>
          </w:tcPr>
          <w:p w14:paraId="62ABBBE4"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40</w:t>
            </w:r>
          </w:p>
        </w:tc>
        <w:tc>
          <w:tcPr>
            <w:tcW w:w="378" w:type="pct"/>
            <w:vAlign w:val="center"/>
            <w:hideMark/>
          </w:tcPr>
          <w:p w14:paraId="7154031A"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584.13</w:t>
            </w:r>
          </w:p>
        </w:tc>
        <w:tc>
          <w:tcPr>
            <w:tcW w:w="226" w:type="pct"/>
            <w:vAlign w:val="center"/>
            <w:hideMark/>
          </w:tcPr>
          <w:p w14:paraId="3F07DE27"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40</w:t>
            </w:r>
          </w:p>
        </w:tc>
        <w:tc>
          <w:tcPr>
            <w:tcW w:w="317" w:type="pct"/>
            <w:vAlign w:val="center"/>
            <w:hideMark/>
          </w:tcPr>
          <w:p w14:paraId="2BE2529D"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0.404 %</w:t>
            </w:r>
          </w:p>
        </w:tc>
        <w:tc>
          <w:tcPr>
            <w:tcW w:w="263" w:type="pct"/>
            <w:vAlign w:val="center"/>
            <w:hideMark/>
          </w:tcPr>
          <w:p w14:paraId="24881FB6"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25.4</w:t>
            </w:r>
          </w:p>
        </w:tc>
        <w:tc>
          <w:tcPr>
            <w:tcW w:w="378" w:type="pct"/>
            <w:vAlign w:val="center"/>
            <w:hideMark/>
          </w:tcPr>
          <w:p w14:paraId="15355852"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3.45</w:t>
            </w:r>
          </w:p>
        </w:tc>
        <w:tc>
          <w:tcPr>
            <w:tcW w:w="543" w:type="pct"/>
            <w:vAlign w:val="center"/>
            <w:hideMark/>
          </w:tcPr>
          <w:p w14:paraId="3A89F50A"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14,146</w:t>
            </w:r>
          </w:p>
        </w:tc>
        <w:tc>
          <w:tcPr>
            <w:tcW w:w="612" w:type="pct"/>
            <w:vAlign w:val="center"/>
            <w:hideMark/>
          </w:tcPr>
          <w:p w14:paraId="598A63C3"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95</w:t>
            </w:r>
          </w:p>
        </w:tc>
        <w:tc>
          <w:tcPr>
            <w:tcW w:w="570" w:type="pct"/>
            <w:vAlign w:val="center"/>
            <w:hideMark/>
          </w:tcPr>
          <w:p w14:paraId="2D221598"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Europe</w:t>
            </w:r>
          </w:p>
        </w:tc>
      </w:tr>
      <w:tr w:rsidR="00E4567F" w:rsidRPr="00E4567F" w14:paraId="1D250D71" w14:textId="77777777" w:rsidTr="00E4567F">
        <w:trPr>
          <w:tblCellSpacing w:w="15" w:type="dxa"/>
        </w:trPr>
        <w:tc>
          <w:tcPr>
            <w:tcW w:w="982" w:type="pct"/>
            <w:vAlign w:val="center"/>
            <w:hideMark/>
          </w:tcPr>
          <w:p w14:paraId="0341611C" w14:textId="77777777" w:rsidR="00E4567F" w:rsidRPr="00E4567F" w:rsidRDefault="00FA1C1A" w:rsidP="00E4567F">
            <w:pPr>
              <w:rPr>
                <w:rFonts w:eastAsia="Times New Roman" w:cs="Arial"/>
                <w:sz w:val="16"/>
                <w:szCs w:val="16"/>
                <w:lang w:eastAsia="en-ZA"/>
              </w:rPr>
            </w:pPr>
            <w:hyperlink r:id="rId113" w:history="1">
              <w:r w:rsidR="00E4567F" w:rsidRPr="00E4567F">
                <w:rPr>
                  <w:rFonts w:eastAsia="Times New Roman" w:cs="Arial"/>
                  <w:color w:val="0000FF"/>
                  <w:sz w:val="16"/>
                  <w:szCs w:val="16"/>
                  <w:u w:val="single"/>
                  <w:lang w:eastAsia="en-ZA"/>
                </w:rPr>
                <w:t>Ireland</w:t>
              </w:r>
            </w:hyperlink>
          </w:p>
        </w:tc>
        <w:tc>
          <w:tcPr>
            <w:tcW w:w="378" w:type="pct"/>
            <w:vAlign w:val="center"/>
            <w:hideMark/>
          </w:tcPr>
          <w:p w14:paraId="7E372C3C"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479.43</w:t>
            </w:r>
          </w:p>
        </w:tc>
        <w:tc>
          <w:tcPr>
            <w:tcW w:w="226" w:type="pct"/>
            <w:vAlign w:val="center"/>
            <w:hideMark/>
          </w:tcPr>
          <w:p w14:paraId="25A8FB6D"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44</w:t>
            </w:r>
          </w:p>
        </w:tc>
        <w:tc>
          <w:tcPr>
            <w:tcW w:w="378" w:type="pct"/>
            <w:vAlign w:val="center"/>
            <w:hideMark/>
          </w:tcPr>
          <w:p w14:paraId="5EC2584A"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561.46</w:t>
            </w:r>
          </w:p>
        </w:tc>
        <w:tc>
          <w:tcPr>
            <w:tcW w:w="226" w:type="pct"/>
            <w:vAlign w:val="center"/>
            <w:hideMark/>
          </w:tcPr>
          <w:p w14:paraId="60C20AF6"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41</w:t>
            </w:r>
          </w:p>
        </w:tc>
        <w:tc>
          <w:tcPr>
            <w:tcW w:w="317" w:type="pct"/>
            <w:vAlign w:val="center"/>
            <w:hideMark/>
          </w:tcPr>
          <w:p w14:paraId="0F2B77C8"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0.388 %</w:t>
            </w:r>
          </w:p>
        </w:tc>
        <w:tc>
          <w:tcPr>
            <w:tcW w:w="263" w:type="pct"/>
            <w:vAlign w:val="center"/>
            <w:hideMark/>
          </w:tcPr>
          <w:p w14:paraId="119EE32A"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22.7</w:t>
            </w:r>
          </w:p>
        </w:tc>
        <w:tc>
          <w:tcPr>
            <w:tcW w:w="378" w:type="pct"/>
            <w:vAlign w:val="center"/>
            <w:hideMark/>
          </w:tcPr>
          <w:p w14:paraId="177D7BE1"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13.04</w:t>
            </w:r>
          </w:p>
        </w:tc>
        <w:tc>
          <w:tcPr>
            <w:tcW w:w="543" w:type="pct"/>
            <w:vAlign w:val="center"/>
            <w:hideMark/>
          </w:tcPr>
          <w:p w14:paraId="4406345D"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111,360</w:t>
            </w:r>
          </w:p>
        </w:tc>
        <w:tc>
          <w:tcPr>
            <w:tcW w:w="612" w:type="pct"/>
            <w:vAlign w:val="center"/>
            <w:hideMark/>
          </w:tcPr>
          <w:p w14:paraId="3D13B485"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2</w:t>
            </w:r>
          </w:p>
        </w:tc>
        <w:tc>
          <w:tcPr>
            <w:tcW w:w="570" w:type="pct"/>
            <w:vAlign w:val="center"/>
            <w:hideMark/>
          </w:tcPr>
          <w:p w14:paraId="380118E6"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Europe</w:t>
            </w:r>
          </w:p>
        </w:tc>
      </w:tr>
      <w:tr w:rsidR="00E4567F" w:rsidRPr="00E4567F" w14:paraId="4A59735E" w14:textId="77777777" w:rsidTr="00E4567F">
        <w:trPr>
          <w:tblCellSpacing w:w="15" w:type="dxa"/>
        </w:trPr>
        <w:tc>
          <w:tcPr>
            <w:tcW w:w="982" w:type="pct"/>
            <w:vAlign w:val="center"/>
            <w:hideMark/>
          </w:tcPr>
          <w:p w14:paraId="31817261" w14:textId="77777777" w:rsidR="00E4567F" w:rsidRPr="00E4567F" w:rsidRDefault="00FA1C1A" w:rsidP="00E4567F">
            <w:pPr>
              <w:rPr>
                <w:rFonts w:eastAsia="Times New Roman" w:cs="Arial"/>
                <w:sz w:val="16"/>
                <w:szCs w:val="16"/>
                <w:lang w:eastAsia="en-ZA"/>
              </w:rPr>
            </w:pPr>
            <w:hyperlink r:id="rId114" w:history="1">
              <w:r w:rsidR="00E4567F" w:rsidRPr="00E4567F">
                <w:rPr>
                  <w:rFonts w:eastAsia="Times New Roman" w:cs="Arial"/>
                  <w:color w:val="0000FF"/>
                  <w:sz w:val="16"/>
                  <w:szCs w:val="16"/>
                  <w:u w:val="single"/>
                  <w:lang w:eastAsia="en-ZA"/>
                </w:rPr>
                <w:t>Kazakhstan</w:t>
              </w:r>
            </w:hyperlink>
          </w:p>
        </w:tc>
        <w:tc>
          <w:tcPr>
            <w:tcW w:w="378" w:type="pct"/>
            <w:vAlign w:val="center"/>
            <w:hideMark/>
          </w:tcPr>
          <w:p w14:paraId="4E0DD445"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501.21</w:t>
            </w:r>
          </w:p>
        </w:tc>
        <w:tc>
          <w:tcPr>
            <w:tcW w:w="226" w:type="pct"/>
            <w:vAlign w:val="center"/>
            <w:hideMark/>
          </w:tcPr>
          <w:p w14:paraId="03953D87"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41</w:t>
            </w:r>
          </w:p>
        </w:tc>
        <w:tc>
          <w:tcPr>
            <w:tcW w:w="378" w:type="pct"/>
            <w:vAlign w:val="center"/>
            <w:hideMark/>
          </w:tcPr>
          <w:p w14:paraId="0F660B15"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536.34</w:t>
            </w:r>
          </w:p>
        </w:tc>
        <w:tc>
          <w:tcPr>
            <w:tcW w:w="226" w:type="pct"/>
            <w:vAlign w:val="center"/>
            <w:hideMark/>
          </w:tcPr>
          <w:p w14:paraId="58C3F075"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42</w:t>
            </w:r>
          </w:p>
        </w:tc>
        <w:tc>
          <w:tcPr>
            <w:tcW w:w="317" w:type="pct"/>
            <w:vAlign w:val="center"/>
            <w:hideMark/>
          </w:tcPr>
          <w:p w14:paraId="6FEC8B72"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0.371 %</w:t>
            </w:r>
          </w:p>
        </w:tc>
        <w:tc>
          <w:tcPr>
            <w:tcW w:w="263" w:type="pct"/>
            <w:vAlign w:val="center"/>
            <w:hideMark/>
          </w:tcPr>
          <w:p w14:paraId="60AE9789"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25.1</w:t>
            </w:r>
          </w:p>
        </w:tc>
        <w:tc>
          <w:tcPr>
            <w:tcW w:w="378" w:type="pct"/>
            <w:vAlign w:val="center"/>
            <w:hideMark/>
          </w:tcPr>
          <w:p w14:paraId="24F85E2E"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3.29</w:t>
            </w:r>
          </w:p>
        </w:tc>
        <w:tc>
          <w:tcPr>
            <w:tcW w:w="543" w:type="pct"/>
            <w:vAlign w:val="center"/>
            <w:hideMark/>
          </w:tcPr>
          <w:p w14:paraId="6741C467"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28,043</w:t>
            </w:r>
          </w:p>
        </w:tc>
        <w:tc>
          <w:tcPr>
            <w:tcW w:w="612" w:type="pct"/>
            <w:vAlign w:val="center"/>
            <w:hideMark/>
          </w:tcPr>
          <w:p w14:paraId="61189E60"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59</w:t>
            </w:r>
          </w:p>
        </w:tc>
        <w:tc>
          <w:tcPr>
            <w:tcW w:w="570" w:type="pct"/>
            <w:vAlign w:val="center"/>
            <w:hideMark/>
          </w:tcPr>
          <w:p w14:paraId="0880A57D"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Asia</w:t>
            </w:r>
          </w:p>
        </w:tc>
      </w:tr>
      <w:tr w:rsidR="00E4567F" w:rsidRPr="00E4567F" w14:paraId="236A3624" w14:textId="77777777" w:rsidTr="00E4567F">
        <w:trPr>
          <w:tblCellSpacing w:w="15" w:type="dxa"/>
        </w:trPr>
        <w:tc>
          <w:tcPr>
            <w:tcW w:w="982" w:type="pct"/>
            <w:vAlign w:val="center"/>
            <w:hideMark/>
          </w:tcPr>
          <w:p w14:paraId="64ABB783" w14:textId="77777777" w:rsidR="00E4567F" w:rsidRPr="00E4567F" w:rsidRDefault="00FA1C1A" w:rsidP="00E4567F">
            <w:pPr>
              <w:rPr>
                <w:rFonts w:eastAsia="Times New Roman" w:cs="Arial"/>
                <w:sz w:val="16"/>
                <w:szCs w:val="16"/>
                <w:lang w:eastAsia="en-ZA"/>
              </w:rPr>
            </w:pPr>
            <w:hyperlink r:id="rId115" w:history="1">
              <w:r w:rsidR="00E4567F" w:rsidRPr="00E4567F">
                <w:rPr>
                  <w:rFonts w:eastAsia="Times New Roman" w:cs="Arial"/>
                  <w:color w:val="0000FF"/>
                  <w:sz w:val="16"/>
                  <w:szCs w:val="16"/>
                  <w:u w:val="single"/>
                  <w:lang w:eastAsia="en-ZA"/>
                </w:rPr>
                <w:t>Algeria</w:t>
              </w:r>
            </w:hyperlink>
          </w:p>
        </w:tc>
        <w:tc>
          <w:tcPr>
            <w:tcW w:w="378" w:type="pct"/>
            <w:vAlign w:val="center"/>
            <w:hideMark/>
          </w:tcPr>
          <w:p w14:paraId="2AABF8AE"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497.09</w:t>
            </w:r>
          </w:p>
        </w:tc>
        <w:tc>
          <w:tcPr>
            <w:tcW w:w="226" w:type="pct"/>
            <w:vAlign w:val="center"/>
            <w:hideMark/>
          </w:tcPr>
          <w:p w14:paraId="226FE7C1"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42</w:t>
            </w:r>
          </w:p>
        </w:tc>
        <w:tc>
          <w:tcPr>
            <w:tcW w:w="378" w:type="pct"/>
            <w:vAlign w:val="center"/>
            <w:hideMark/>
          </w:tcPr>
          <w:p w14:paraId="3A1AA7F6"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532.57</w:t>
            </w:r>
          </w:p>
        </w:tc>
        <w:tc>
          <w:tcPr>
            <w:tcW w:w="226" w:type="pct"/>
            <w:vAlign w:val="center"/>
            <w:hideMark/>
          </w:tcPr>
          <w:p w14:paraId="2BAA61D5"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43</w:t>
            </w:r>
          </w:p>
        </w:tc>
        <w:tc>
          <w:tcPr>
            <w:tcW w:w="317" w:type="pct"/>
            <w:vAlign w:val="center"/>
            <w:hideMark/>
          </w:tcPr>
          <w:p w14:paraId="4277FD93"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0.368 %</w:t>
            </w:r>
          </w:p>
        </w:tc>
        <w:tc>
          <w:tcPr>
            <w:tcW w:w="263" w:type="pct"/>
            <w:vAlign w:val="center"/>
            <w:hideMark/>
          </w:tcPr>
          <w:p w14:paraId="1047B809"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3.77</w:t>
            </w:r>
          </w:p>
        </w:tc>
        <w:tc>
          <w:tcPr>
            <w:tcW w:w="378" w:type="pct"/>
            <w:vAlign w:val="center"/>
            <w:hideMark/>
          </w:tcPr>
          <w:p w14:paraId="2A6BFDA0"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3.41</w:t>
            </w:r>
          </w:p>
        </w:tc>
        <w:tc>
          <w:tcPr>
            <w:tcW w:w="543" w:type="pct"/>
            <w:vAlign w:val="center"/>
            <w:hideMark/>
          </w:tcPr>
          <w:p w14:paraId="0BED9A20"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11,829</w:t>
            </w:r>
          </w:p>
        </w:tc>
        <w:tc>
          <w:tcPr>
            <w:tcW w:w="612" w:type="pct"/>
            <w:vAlign w:val="center"/>
            <w:hideMark/>
          </w:tcPr>
          <w:p w14:paraId="353E7D8A"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111</w:t>
            </w:r>
          </w:p>
        </w:tc>
        <w:tc>
          <w:tcPr>
            <w:tcW w:w="570" w:type="pct"/>
            <w:vAlign w:val="center"/>
            <w:hideMark/>
          </w:tcPr>
          <w:p w14:paraId="3962EEA6"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Africa</w:t>
            </w:r>
          </w:p>
        </w:tc>
      </w:tr>
      <w:tr w:rsidR="00E4567F" w:rsidRPr="00E4567F" w14:paraId="364F1383" w14:textId="77777777" w:rsidTr="00E4567F">
        <w:trPr>
          <w:tblCellSpacing w:w="15" w:type="dxa"/>
        </w:trPr>
        <w:tc>
          <w:tcPr>
            <w:tcW w:w="982" w:type="pct"/>
            <w:vAlign w:val="center"/>
            <w:hideMark/>
          </w:tcPr>
          <w:p w14:paraId="3CABC2C5" w14:textId="77777777" w:rsidR="00E4567F" w:rsidRPr="00E4567F" w:rsidRDefault="00FA1C1A" w:rsidP="00E4567F">
            <w:pPr>
              <w:rPr>
                <w:rFonts w:eastAsia="Times New Roman" w:cs="Arial"/>
                <w:sz w:val="16"/>
                <w:szCs w:val="16"/>
                <w:lang w:eastAsia="en-ZA"/>
              </w:rPr>
            </w:pPr>
            <w:hyperlink r:id="rId116" w:history="1">
              <w:r w:rsidR="00E4567F" w:rsidRPr="00E4567F">
                <w:rPr>
                  <w:rFonts w:eastAsia="Times New Roman" w:cs="Arial"/>
                  <w:color w:val="0000FF"/>
                  <w:sz w:val="16"/>
                  <w:szCs w:val="16"/>
                  <w:u w:val="single"/>
                  <w:lang w:eastAsia="en-ZA"/>
                </w:rPr>
                <w:t>Austria</w:t>
              </w:r>
            </w:hyperlink>
          </w:p>
        </w:tc>
        <w:tc>
          <w:tcPr>
            <w:tcW w:w="378" w:type="pct"/>
            <w:vAlign w:val="center"/>
            <w:hideMark/>
          </w:tcPr>
          <w:p w14:paraId="245BC22E"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493.59</w:t>
            </w:r>
          </w:p>
        </w:tc>
        <w:tc>
          <w:tcPr>
            <w:tcW w:w="226" w:type="pct"/>
            <w:vAlign w:val="center"/>
            <w:hideMark/>
          </w:tcPr>
          <w:p w14:paraId="6F35248B"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43</w:t>
            </w:r>
          </w:p>
        </w:tc>
        <w:tc>
          <w:tcPr>
            <w:tcW w:w="378" w:type="pct"/>
            <w:vAlign w:val="center"/>
            <w:hideMark/>
          </w:tcPr>
          <w:p w14:paraId="64C7CD6C"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531.41</w:t>
            </w:r>
          </w:p>
        </w:tc>
        <w:tc>
          <w:tcPr>
            <w:tcW w:w="226" w:type="pct"/>
            <w:vAlign w:val="center"/>
            <w:hideMark/>
          </w:tcPr>
          <w:p w14:paraId="60209BD9"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44</w:t>
            </w:r>
          </w:p>
        </w:tc>
        <w:tc>
          <w:tcPr>
            <w:tcW w:w="317" w:type="pct"/>
            <w:vAlign w:val="center"/>
            <w:hideMark/>
          </w:tcPr>
          <w:p w14:paraId="5E07B816"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0.367 %</w:t>
            </w:r>
          </w:p>
        </w:tc>
        <w:tc>
          <w:tcPr>
            <w:tcW w:w="263" w:type="pct"/>
            <w:vAlign w:val="center"/>
            <w:hideMark/>
          </w:tcPr>
          <w:p w14:paraId="692DFF2D"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1.15</w:t>
            </w:r>
          </w:p>
        </w:tc>
        <w:tc>
          <w:tcPr>
            <w:tcW w:w="378" w:type="pct"/>
            <w:vAlign w:val="center"/>
            <w:hideMark/>
          </w:tcPr>
          <w:p w14:paraId="24A363BA"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3.92</w:t>
            </w:r>
          </w:p>
        </w:tc>
        <w:tc>
          <w:tcPr>
            <w:tcW w:w="543" w:type="pct"/>
            <w:vAlign w:val="center"/>
            <w:hideMark/>
          </w:tcPr>
          <w:p w14:paraId="2B358C25"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59,406</w:t>
            </w:r>
          </w:p>
        </w:tc>
        <w:tc>
          <w:tcPr>
            <w:tcW w:w="612" w:type="pct"/>
            <w:vAlign w:val="center"/>
            <w:hideMark/>
          </w:tcPr>
          <w:p w14:paraId="404E3C69"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16</w:t>
            </w:r>
          </w:p>
        </w:tc>
        <w:tc>
          <w:tcPr>
            <w:tcW w:w="570" w:type="pct"/>
            <w:vAlign w:val="center"/>
            <w:hideMark/>
          </w:tcPr>
          <w:p w14:paraId="1470613D"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Europe</w:t>
            </w:r>
          </w:p>
        </w:tc>
      </w:tr>
      <w:tr w:rsidR="00E4567F" w:rsidRPr="00E4567F" w14:paraId="301A4712" w14:textId="77777777" w:rsidTr="00E4567F">
        <w:trPr>
          <w:tblCellSpacing w:w="15" w:type="dxa"/>
        </w:trPr>
        <w:tc>
          <w:tcPr>
            <w:tcW w:w="982" w:type="pct"/>
            <w:vAlign w:val="center"/>
            <w:hideMark/>
          </w:tcPr>
          <w:p w14:paraId="12AC64D4" w14:textId="77777777" w:rsidR="00E4567F" w:rsidRPr="00E4567F" w:rsidRDefault="00FA1C1A" w:rsidP="00E4567F">
            <w:pPr>
              <w:rPr>
                <w:rFonts w:eastAsia="Times New Roman" w:cs="Arial"/>
                <w:sz w:val="16"/>
                <w:szCs w:val="16"/>
                <w:lang w:eastAsia="en-ZA"/>
              </w:rPr>
            </w:pPr>
            <w:hyperlink r:id="rId117" w:history="1">
              <w:r w:rsidR="00E4567F" w:rsidRPr="00E4567F">
                <w:rPr>
                  <w:rFonts w:eastAsia="Times New Roman" w:cs="Arial"/>
                  <w:color w:val="0000FF"/>
                  <w:sz w:val="16"/>
                  <w:szCs w:val="16"/>
                  <w:u w:val="single"/>
                  <w:lang w:eastAsia="en-ZA"/>
                </w:rPr>
                <w:t>Chile</w:t>
              </w:r>
            </w:hyperlink>
          </w:p>
        </w:tc>
        <w:tc>
          <w:tcPr>
            <w:tcW w:w="378" w:type="pct"/>
            <w:vAlign w:val="center"/>
            <w:hideMark/>
          </w:tcPr>
          <w:p w14:paraId="7AA4E37E"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454.60</w:t>
            </w:r>
          </w:p>
        </w:tc>
        <w:tc>
          <w:tcPr>
            <w:tcW w:w="226" w:type="pct"/>
            <w:vAlign w:val="center"/>
            <w:hideMark/>
          </w:tcPr>
          <w:p w14:paraId="22B847BF"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45</w:t>
            </w:r>
          </w:p>
        </w:tc>
        <w:tc>
          <w:tcPr>
            <w:tcW w:w="378" w:type="pct"/>
            <w:vAlign w:val="center"/>
            <w:hideMark/>
          </w:tcPr>
          <w:p w14:paraId="12A51E51"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522.79</w:t>
            </w:r>
          </w:p>
        </w:tc>
        <w:tc>
          <w:tcPr>
            <w:tcW w:w="226" w:type="pct"/>
            <w:vAlign w:val="center"/>
            <w:hideMark/>
          </w:tcPr>
          <w:p w14:paraId="6388B82E"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45</w:t>
            </w:r>
          </w:p>
        </w:tc>
        <w:tc>
          <w:tcPr>
            <w:tcW w:w="317" w:type="pct"/>
            <w:vAlign w:val="center"/>
            <w:hideMark/>
          </w:tcPr>
          <w:p w14:paraId="0F0EA3BE"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0.361 %</w:t>
            </w:r>
          </w:p>
        </w:tc>
        <w:tc>
          <w:tcPr>
            <w:tcW w:w="263" w:type="pct"/>
            <w:vAlign w:val="center"/>
            <w:hideMark/>
          </w:tcPr>
          <w:p w14:paraId="3FAC5A22"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8.62</w:t>
            </w:r>
          </w:p>
        </w:tc>
        <w:tc>
          <w:tcPr>
            <w:tcW w:w="378" w:type="pct"/>
            <w:vAlign w:val="center"/>
            <w:hideMark/>
          </w:tcPr>
          <w:p w14:paraId="520AA756"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11.00</w:t>
            </w:r>
          </w:p>
        </w:tc>
        <w:tc>
          <w:tcPr>
            <w:tcW w:w="543" w:type="pct"/>
            <w:vAlign w:val="center"/>
            <w:hideMark/>
          </w:tcPr>
          <w:p w14:paraId="7DC2780A"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26,513</w:t>
            </w:r>
          </w:p>
        </w:tc>
        <w:tc>
          <w:tcPr>
            <w:tcW w:w="612" w:type="pct"/>
            <w:vAlign w:val="center"/>
            <w:hideMark/>
          </w:tcPr>
          <w:p w14:paraId="288403C2"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60</w:t>
            </w:r>
          </w:p>
        </w:tc>
        <w:tc>
          <w:tcPr>
            <w:tcW w:w="570" w:type="pct"/>
            <w:vAlign w:val="center"/>
            <w:hideMark/>
          </w:tcPr>
          <w:p w14:paraId="6B90E125"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South America</w:t>
            </w:r>
          </w:p>
        </w:tc>
      </w:tr>
      <w:tr w:rsidR="00E4567F" w:rsidRPr="00E4567F" w14:paraId="5623BDFD" w14:textId="77777777" w:rsidTr="00E4567F">
        <w:trPr>
          <w:tblCellSpacing w:w="15" w:type="dxa"/>
        </w:trPr>
        <w:tc>
          <w:tcPr>
            <w:tcW w:w="982" w:type="pct"/>
            <w:vAlign w:val="center"/>
            <w:hideMark/>
          </w:tcPr>
          <w:p w14:paraId="7B25567A" w14:textId="77777777" w:rsidR="00E4567F" w:rsidRPr="00E4567F" w:rsidRDefault="00FA1C1A" w:rsidP="00E4567F">
            <w:pPr>
              <w:rPr>
                <w:rFonts w:eastAsia="Times New Roman" w:cs="Arial"/>
                <w:sz w:val="16"/>
                <w:szCs w:val="16"/>
                <w:lang w:eastAsia="en-ZA"/>
              </w:rPr>
            </w:pPr>
            <w:hyperlink r:id="rId118" w:history="1">
              <w:r w:rsidR="00E4567F" w:rsidRPr="00E4567F">
                <w:rPr>
                  <w:rFonts w:eastAsia="Times New Roman" w:cs="Arial"/>
                  <w:color w:val="0000FF"/>
                  <w:sz w:val="16"/>
                  <w:szCs w:val="16"/>
                  <w:u w:val="single"/>
                  <w:lang w:eastAsia="en-ZA"/>
                </w:rPr>
                <w:t>Hong Kong SAR</w:t>
              </w:r>
            </w:hyperlink>
          </w:p>
        </w:tc>
        <w:tc>
          <w:tcPr>
            <w:tcW w:w="378" w:type="pct"/>
            <w:vAlign w:val="center"/>
            <w:hideMark/>
          </w:tcPr>
          <w:p w14:paraId="62737776"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443.14</w:t>
            </w:r>
          </w:p>
        </w:tc>
        <w:tc>
          <w:tcPr>
            <w:tcW w:w="226" w:type="pct"/>
            <w:vAlign w:val="center"/>
            <w:hideMark/>
          </w:tcPr>
          <w:p w14:paraId="02BACE80"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46</w:t>
            </w:r>
          </w:p>
        </w:tc>
        <w:tc>
          <w:tcPr>
            <w:tcW w:w="378" w:type="pct"/>
            <w:vAlign w:val="center"/>
            <w:hideMark/>
          </w:tcPr>
          <w:p w14:paraId="5390B5CD"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488.65</w:t>
            </w:r>
          </w:p>
        </w:tc>
        <w:tc>
          <w:tcPr>
            <w:tcW w:w="226" w:type="pct"/>
            <w:vAlign w:val="center"/>
            <w:hideMark/>
          </w:tcPr>
          <w:p w14:paraId="719B673E"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46</w:t>
            </w:r>
          </w:p>
        </w:tc>
        <w:tc>
          <w:tcPr>
            <w:tcW w:w="317" w:type="pct"/>
            <w:vAlign w:val="center"/>
            <w:hideMark/>
          </w:tcPr>
          <w:p w14:paraId="71D4AA55"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0.338 %</w:t>
            </w:r>
          </w:p>
        </w:tc>
        <w:tc>
          <w:tcPr>
            <w:tcW w:w="263" w:type="pct"/>
            <w:vAlign w:val="center"/>
            <w:hideMark/>
          </w:tcPr>
          <w:p w14:paraId="069785FA"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34.1</w:t>
            </w:r>
          </w:p>
        </w:tc>
        <w:tc>
          <w:tcPr>
            <w:tcW w:w="378" w:type="pct"/>
            <w:vAlign w:val="center"/>
            <w:hideMark/>
          </w:tcPr>
          <w:p w14:paraId="7DFB8E79"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6.44</w:t>
            </w:r>
          </w:p>
        </w:tc>
        <w:tc>
          <w:tcPr>
            <w:tcW w:w="543" w:type="pct"/>
            <w:vAlign w:val="center"/>
            <w:hideMark/>
          </w:tcPr>
          <w:p w14:paraId="3695C32D"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65,403</w:t>
            </w:r>
          </w:p>
        </w:tc>
        <w:tc>
          <w:tcPr>
            <w:tcW w:w="612" w:type="pct"/>
            <w:vAlign w:val="center"/>
            <w:hideMark/>
          </w:tcPr>
          <w:p w14:paraId="2A6D5BB5"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12</w:t>
            </w:r>
          </w:p>
        </w:tc>
        <w:tc>
          <w:tcPr>
            <w:tcW w:w="570" w:type="pct"/>
            <w:vAlign w:val="center"/>
            <w:hideMark/>
          </w:tcPr>
          <w:p w14:paraId="4063F7BC"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Asia</w:t>
            </w:r>
          </w:p>
        </w:tc>
      </w:tr>
      <w:tr w:rsidR="00E4567F" w:rsidRPr="00E4567F" w14:paraId="4117C5CD" w14:textId="77777777" w:rsidTr="00E4567F">
        <w:trPr>
          <w:tblCellSpacing w:w="15" w:type="dxa"/>
        </w:trPr>
        <w:tc>
          <w:tcPr>
            <w:tcW w:w="982" w:type="pct"/>
            <w:vAlign w:val="center"/>
            <w:hideMark/>
          </w:tcPr>
          <w:p w14:paraId="343C72D2" w14:textId="77777777" w:rsidR="00E4567F" w:rsidRPr="00E4567F" w:rsidRDefault="00FA1C1A" w:rsidP="00E4567F">
            <w:pPr>
              <w:rPr>
                <w:rFonts w:eastAsia="Times New Roman" w:cs="Arial"/>
                <w:sz w:val="16"/>
                <w:szCs w:val="16"/>
                <w:lang w:eastAsia="en-ZA"/>
              </w:rPr>
            </w:pPr>
            <w:hyperlink r:id="rId119" w:history="1">
              <w:r w:rsidR="00E4567F" w:rsidRPr="00E4567F">
                <w:rPr>
                  <w:rFonts w:eastAsia="Times New Roman" w:cs="Arial"/>
                  <w:color w:val="0000FF"/>
                  <w:sz w:val="16"/>
                  <w:szCs w:val="16"/>
                  <w:u w:val="single"/>
                  <w:lang w:eastAsia="en-ZA"/>
                </w:rPr>
                <w:t>Czech Republic</w:t>
              </w:r>
            </w:hyperlink>
          </w:p>
        </w:tc>
        <w:tc>
          <w:tcPr>
            <w:tcW w:w="378" w:type="pct"/>
            <w:vAlign w:val="center"/>
            <w:hideMark/>
          </w:tcPr>
          <w:p w14:paraId="0E0DA8F3"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436.23</w:t>
            </w:r>
          </w:p>
        </w:tc>
        <w:tc>
          <w:tcPr>
            <w:tcW w:w="226" w:type="pct"/>
            <w:vAlign w:val="center"/>
            <w:hideMark/>
          </w:tcPr>
          <w:p w14:paraId="3D1730C5"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47</w:t>
            </w:r>
          </w:p>
        </w:tc>
        <w:tc>
          <w:tcPr>
            <w:tcW w:w="378" w:type="pct"/>
            <w:vAlign w:val="center"/>
            <w:hideMark/>
          </w:tcPr>
          <w:p w14:paraId="3DB6BBC6"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469.07</w:t>
            </w:r>
          </w:p>
        </w:tc>
        <w:tc>
          <w:tcPr>
            <w:tcW w:w="226" w:type="pct"/>
            <w:vAlign w:val="center"/>
            <w:hideMark/>
          </w:tcPr>
          <w:p w14:paraId="264E7C57"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47</w:t>
            </w:r>
          </w:p>
        </w:tc>
        <w:tc>
          <w:tcPr>
            <w:tcW w:w="317" w:type="pct"/>
            <w:vAlign w:val="center"/>
            <w:hideMark/>
          </w:tcPr>
          <w:p w14:paraId="2C04CE2E"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0.324 %</w:t>
            </w:r>
          </w:p>
        </w:tc>
        <w:tc>
          <w:tcPr>
            <w:tcW w:w="263" w:type="pct"/>
            <w:vAlign w:val="center"/>
            <w:hideMark/>
          </w:tcPr>
          <w:p w14:paraId="4F667382"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19.6</w:t>
            </w:r>
          </w:p>
        </w:tc>
        <w:tc>
          <w:tcPr>
            <w:tcW w:w="378" w:type="pct"/>
            <w:vAlign w:val="center"/>
            <w:hideMark/>
          </w:tcPr>
          <w:p w14:paraId="286A0FEE"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3.79</w:t>
            </w:r>
          </w:p>
        </w:tc>
        <w:tc>
          <w:tcPr>
            <w:tcW w:w="543" w:type="pct"/>
            <w:vAlign w:val="center"/>
            <w:hideMark/>
          </w:tcPr>
          <w:p w14:paraId="07F1DECD"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43,714</w:t>
            </w:r>
          </w:p>
        </w:tc>
        <w:tc>
          <w:tcPr>
            <w:tcW w:w="612" w:type="pct"/>
            <w:vAlign w:val="center"/>
            <w:hideMark/>
          </w:tcPr>
          <w:p w14:paraId="64FD20EF"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36</w:t>
            </w:r>
          </w:p>
        </w:tc>
        <w:tc>
          <w:tcPr>
            <w:tcW w:w="570" w:type="pct"/>
            <w:vAlign w:val="center"/>
            <w:hideMark/>
          </w:tcPr>
          <w:p w14:paraId="5DE54F15"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Europe</w:t>
            </w:r>
          </w:p>
        </w:tc>
      </w:tr>
      <w:tr w:rsidR="00E4567F" w:rsidRPr="00E4567F" w14:paraId="0C594220" w14:textId="77777777" w:rsidTr="00E4567F">
        <w:trPr>
          <w:tblCellSpacing w:w="15" w:type="dxa"/>
        </w:trPr>
        <w:tc>
          <w:tcPr>
            <w:tcW w:w="982" w:type="pct"/>
            <w:vAlign w:val="center"/>
            <w:hideMark/>
          </w:tcPr>
          <w:p w14:paraId="480C15E6" w14:textId="77777777" w:rsidR="00E4567F" w:rsidRPr="00E4567F" w:rsidRDefault="00FA1C1A" w:rsidP="00E4567F">
            <w:pPr>
              <w:rPr>
                <w:rFonts w:eastAsia="Times New Roman" w:cs="Arial"/>
                <w:sz w:val="16"/>
                <w:szCs w:val="16"/>
                <w:lang w:eastAsia="en-ZA"/>
              </w:rPr>
            </w:pPr>
            <w:hyperlink r:id="rId120" w:history="1">
              <w:r w:rsidR="00E4567F" w:rsidRPr="00E4567F">
                <w:rPr>
                  <w:rFonts w:eastAsia="Times New Roman" w:cs="Arial"/>
                  <w:color w:val="0000FF"/>
                  <w:sz w:val="16"/>
                  <w:szCs w:val="16"/>
                  <w:u w:val="single"/>
                  <w:lang w:eastAsia="en-ZA"/>
                </w:rPr>
                <w:t>Peru</w:t>
              </w:r>
            </w:hyperlink>
          </w:p>
        </w:tc>
        <w:tc>
          <w:tcPr>
            <w:tcW w:w="378" w:type="pct"/>
            <w:vAlign w:val="center"/>
            <w:hideMark/>
          </w:tcPr>
          <w:p w14:paraId="12B0FCE3"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397.93</w:t>
            </w:r>
          </w:p>
        </w:tc>
        <w:tc>
          <w:tcPr>
            <w:tcW w:w="226" w:type="pct"/>
            <w:vAlign w:val="center"/>
            <w:hideMark/>
          </w:tcPr>
          <w:p w14:paraId="2AE24C42"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49</w:t>
            </w:r>
          </w:p>
        </w:tc>
        <w:tc>
          <w:tcPr>
            <w:tcW w:w="378" w:type="pct"/>
            <w:vAlign w:val="center"/>
            <w:hideMark/>
          </w:tcPr>
          <w:p w14:paraId="469457DE"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453.65</w:t>
            </w:r>
          </w:p>
        </w:tc>
        <w:tc>
          <w:tcPr>
            <w:tcW w:w="226" w:type="pct"/>
            <w:vAlign w:val="center"/>
            <w:hideMark/>
          </w:tcPr>
          <w:p w14:paraId="43FBBBF6"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48</w:t>
            </w:r>
          </w:p>
        </w:tc>
        <w:tc>
          <w:tcPr>
            <w:tcW w:w="317" w:type="pct"/>
            <w:vAlign w:val="center"/>
            <w:hideMark/>
          </w:tcPr>
          <w:p w14:paraId="2B669DD1"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0.314 %</w:t>
            </w:r>
          </w:p>
        </w:tc>
        <w:tc>
          <w:tcPr>
            <w:tcW w:w="263" w:type="pct"/>
            <w:vAlign w:val="center"/>
            <w:hideMark/>
          </w:tcPr>
          <w:p w14:paraId="1AC11F6A"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15.4</w:t>
            </w:r>
          </w:p>
        </w:tc>
        <w:tc>
          <w:tcPr>
            <w:tcW w:w="378" w:type="pct"/>
            <w:vAlign w:val="center"/>
            <w:hideMark/>
          </w:tcPr>
          <w:p w14:paraId="7DDED9BB"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10.04</w:t>
            </w:r>
          </w:p>
        </w:tc>
        <w:tc>
          <w:tcPr>
            <w:tcW w:w="543" w:type="pct"/>
            <w:vAlign w:val="center"/>
            <w:hideMark/>
          </w:tcPr>
          <w:p w14:paraId="6953CBEC"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13,410</w:t>
            </w:r>
          </w:p>
        </w:tc>
        <w:tc>
          <w:tcPr>
            <w:tcW w:w="612" w:type="pct"/>
            <w:vAlign w:val="center"/>
            <w:hideMark/>
          </w:tcPr>
          <w:p w14:paraId="4EC319A4"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102</w:t>
            </w:r>
          </w:p>
        </w:tc>
        <w:tc>
          <w:tcPr>
            <w:tcW w:w="570" w:type="pct"/>
            <w:vAlign w:val="center"/>
            <w:hideMark/>
          </w:tcPr>
          <w:p w14:paraId="2DBB7A8D"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South America</w:t>
            </w:r>
          </w:p>
        </w:tc>
      </w:tr>
      <w:tr w:rsidR="00E4567F" w:rsidRPr="00E4567F" w14:paraId="3F534672" w14:textId="77777777" w:rsidTr="00E4567F">
        <w:trPr>
          <w:tblCellSpacing w:w="15" w:type="dxa"/>
        </w:trPr>
        <w:tc>
          <w:tcPr>
            <w:tcW w:w="982" w:type="pct"/>
            <w:vAlign w:val="center"/>
            <w:hideMark/>
          </w:tcPr>
          <w:p w14:paraId="574A835D" w14:textId="77777777" w:rsidR="00E4567F" w:rsidRPr="00E4567F" w:rsidRDefault="00FA1C1A" w:rsidP="00E4567F">
            <w:pPr>
              <w:rPr>
                <w:rFonts w:eastAsia="Times New Roman" w:cs="Arial"/>
                <w:sz w:val="16"/>
                <w:szCs w:val="16"/>
                <w:lang w:eastAsia="en-ZA"/>
              </w:rPr>
            </w:pPr>
            <w:hyperlink r:id="rId121" w:history="1">
              <w:r w:rsidR="00E4567F" w:rsidRPr="00E4567F">
                <w:rPr>
                  <w:rFonts w:eastAsia="Times New Roman" w:cs="Arial"/>
                  <w:color w:val="0000FF"/>
                  <w:sz w:val="16"/>
                  <w:szCs w:val="16"/>
                  <w:u w:val="single"/>
                  <w:lang w:eastAsia="en-ZA"/>
                </w:rPr>
                <w:t>Iraq</w:t>
              </w:r>
            </w:hyperlink>
          </w:p>
        </w:tc>
        <w:tc>
          <w:tcPr>
            <w:tcW w:w="378" w:type="pct"/>
            <w:vAlign w:val="center"/>
            <w:hideMark/>
          </w:tcPr>
          <w:p w14:paraId="609E7A66"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399.38</w:t>
            </w:r>
          </w:p>
        </w:tc>
        <w:tc>
          <w:tcPr>
            <w:tcW w:w="226" w:type="pct"/>
            <w:vAlign w:val="center"/>
            <w:hideMark/>
          </w:tcPr>
          <w:p w14:paraId="3ACA7F4F"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48</w:t>
            </w:r>
          </w:p>
        </w:tc>
        <w:tc>
          <w:tcPr>
            <w:tcW w:w="378" w:type="pct"/>
            <w:vAlign w:val="center"/>
            <w:hideMark/>
          </w:tcPr>
          <w:p w14:paraId="0582D4E4"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428.86</w:t>
            </w:r>
          </w:p>
        </w:tc>
        <w:tc>
          <w:tcPr>
            <w:tcW w:w="226" w:type="pct"/>
            <w:vAlign w:val="center"/>
            <w:hideMark/>
          </w:tcPr>
          <w:p w14:paraId="072DE47B"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49</w:t>
            </w:r>
          </w:p>
        </w:tc>
        <w:tc>
          <w:tcPr>
            <w:tcW w:w="317" w:type="pct"/>
            <w:vAlign w:val="center"/>
            <w:hideMark/>
          </w:tcPr>
          <w:p w14:paraId="06A2F843"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0.297 %</w:t>
            </w:r>
          </w:p>
        </w:tc>
        <w:tc>
          <w:tcPr>
            <w:tcW w:w="263" w:type="pct"/>
            <w:vAlign w:val="center"/>
            <w:hideMark/>
          </w:tcPr>
          <w:p w14:paraId="351AD0F2"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24.8</w:t>
            </w:r>
          </w:p>
        </w:tc>
        <w:tc>
          <w:tcPr>
            <w:tcW w:w="378" w:type="pct"/>
            <w:vAlign w:val="center"/>
            <w:hideMark/>
          </w:tcPr>
          <w:p w14:paraId="60CEAD01"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3.65</w:t>
            </w:r>
          </w:p>
        </w:tc>
        <w:tc>
          <w:tcPr>
            <w:tcW w:w="543" w:type="pct"/>
            <w:vAlign w:val="center"/>
            <w:hideMark/>
          </w:tcPr>
          <w:p w14:paraId="73CFD813"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10,415</w:t>
            </w:r>
          </w:p>
        </w:tc>
        <w:tc>
          <w:tcPr>
            <w:tcW w:w="612" w:type="pct"/>
            <w:vAlign w:val="center"/>
            <w:hideMark/>
          </w:tcPr>
          <w:p w14:paraId="07A15382"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118</w:t>
            </w:r>
          </w:p>
        </w:tc>
        <w:tc>
          <w:tcPr>
            <w:tcW w:w="570" w:type="pct"/>
            <w:vAlign w:val="center"/>
            <w:hideMark/>
          </w:tcPr>
          <w:p w14:paraId="530D466B"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Asia</w:t>
            </w:r>
          </w:p>
        </w:tc>
      </w:tr>
      <w:tr w:rsidR="00E4567F" w:rsidRPr="00E4567F" w14:paraId="021A2EF3" w14:textId="77777777" w:rsidTr="00E4567F">
        <w:trPr>
          <w:tblCellSpacing w:w="15" w:type="dxa"/>
        </w:trPr>
        <w:tc>
          <w:tcPr>
            <w:tcW w:w="982" w:type="pct"/>
            <w:vAlign w:val="center"/>
            <w:hideMark/>
          </w:tcPr>
          <w:p w14:paraId="78C25981" w14:textId="77777777" w:rsidR="00E4567F" w:rsidRPr="00E4567F" w:rsidRDefault="00FA1C1A" w:rsidP="00E4567F">
            <w:pPr>
              <w:rPr>
                <w:rFonts w:eastAsia="Times New Roman" w:cs="Arial"/>
                <w:sz w:val="16"/>
                <w:szCs w:val="16"/>
                <w:lang w:eastAsia="en-ZA"/>
              </w:rPr>
            </w:pPr>
            <w:hyperlink r:id="rId122" w:history="1">
              <w:r w:rsidR="00E4567F" w:rsidRPr="00E4567F">
                <w:rPr>
                  <w:rFonts w:eastAsia="Times New Roman" w:cs="Arial"/>
                  <w:color w:val="0000FF"/>
                  <w:sz w:val="16"/>
                  <w:szCs w:val="16"/>
                  <w:u w:val="single"/>
                  <w:lang w:eastAsia="en-ZA"/>
                </w:rPr>
                <w:t>Israel</w:t>
              </w:r>
            </w:hyperlink>
          </w:p>
        </w:tc>
        <w:tc>
          <w:tcPr>
            <w:tcW w:w="378" w:type="pct"/>
            <w:vAlign w:val="center"/>
            <w:hideMark/>
          </w:tcPr>
          <w:p w14:paraId="52F09EC0"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380.29</w:t>
            </w:r>
          </w:p>
        </w:tc>
        <w:tc>
          <w:tcPr>
            <w:tcW w:w="226" w:type="pct"/>
            <w:vAlign w:val="center"/>
            <w:hideMark/>
          </w:tcPr>
          <w:p w14:paraId="7407135F"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50</w:t>
            </w:r>
          </w:p>
        </w:tc>
        <w:tc>
          <w:tcPr>
            <w:tcW w:w="378" w:type="pct"/>
            <w:vAlign w:val="center"/>
            <w:hideMark/>
          </w:tcPr>
          <w:p w14:paraId="4E7F2BBB"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421.81</w:t>
            </w:r>
          </w:p>
        </w:tc>
        <w:tc>
          <w:tcPr>
            <w:tcW w:w="226" w:type="pct"/>
            <w:vAlign w:val="center"/>
            <w:hideMark/>
          </w:tcPr>
          <w:p w14:paraId="7FBD8776"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50</w:t>
            </w:r>
          </w:p>
        </w:tc>
        <w:tc>
          <w:tcPr>
            <w:tcW w:w="317" w:type="pct"/>
            <w:vAlign w:val="center"/>
            <w:hideMark/>
          </w:tcPr>
          <w:p w14:paraId="2502B49A"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0.292 %</w:t>
            </w:r>
          </w:p>
        </w:tc>
        <w:tc>
          <w:tcPr>
            <w:tcW w:w="263" w:type="pct"/>
            <w:vAlign w:val="center"/>
            <w:hideMark/>
          </w:tcPr>
          <w:p w14:paraId="73D73FCC"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7.05</w:t>
            </w:r>
          </w:p>
        </w:tc>
        <w:tc>
          <w:tcPr>
            <w:tcW w:w="378" w:type="pct"/>
            <w:vAlign w:val="center"/>
            <w:hideMark/>
          </w:tcPr>
          <w:p w14:paraId="23B77CBB"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7.06</w:t>
            </w:r>
          </w:p>
        </w:tc>
        <w:tc>
          <w:tcPr>
            <w:tcW w:w="543" w:type="pct"/>
            <w:vAlign w:val="center"/>
            <w:hideMark/>
          </w:tcPr>
          <w:p w14:paraId="5138E315"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44,966</w:t>
            </w:r>
          </w:p>
        </w:tc>
        <w:tc>
          <w:tcPr>
            <w:tcW w:w="612" w:type="pct"/>
            <w:vAlign w:val="center"/>
            <w:hideMark/>
          </w:tcPr>
          <w:p w14:paraId="0E6C6B9B"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33</w:t>
            </w:r>
          </w:p>
        </w:tc>
        <w:tc>
          <w:tcPr>
            <w:tcW w:w="570" w:type="pct"/>
            <w:vAlign w:val="center"/>
            <w:hideMark/>
          </w:tcPr>
          <w:p w14:paraId="7068DE04"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Asia</w:t>
            </w:r>
          </w:p>
        </w:tc>
      </w:tr>
      <w:tr w:rsidR="00E4567F" w:rsidRPr="00E4567F" w14:paraId="60945EFA" w14:textId="77777777" w:rsidTr="00E4567F">
        <w:trPr>
          <w:tblCellSpacing w:w="15" w:type="dxa"/>
        </w:trPr>
        <w:tc>
          <w:tcPr>
            <w:tcW w:w="982" w:type="pct"/>
            <w:shd w:val="clear" w:color="auto" w:fill="66FFC2"/>
            <w:vAlign w:val="center"/>
            <w:hideMark/>
          </w:tcPr>
          <w:p w14:paraId="4187DE8B"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 xml:space="preserve">World </w:t>
            </w:r>
          </w:p>
        </w:tc>
        <w:tc>
          <w:tcPr>
            <w:tcW w:w="378" w:type="pct"/>
            <w:shd w:val="clear" w:color="auto" w:fill="66FFC2"/>
            <w:vAlign w:val="center"/>
            <w:hideMark/>
          </w:tcPr>
          <w:p w14:paraId="1471522B"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131,980</w:t>
            </w:r>
          </w:p>
        </w:tc>
        <w:tc>
          <w:tcPr>
            <w:tcW w:w="226" w:type="pct"/>
            <w:shd w:val="clear" w:color="auto" w:fill="66FFC2"/>
            <w:vAlign w:val="center"/>
            <w:hideMark/>
          </w:tcPr>
          <w:p w14:paraId="5A69F3AB" w14:textId="77777777" w:rsidR="00E4567F" w:rsidRPr="00E4567F" w:rsidRDefault="00E4567F" w:rsidP="00E4567F">
            <w:pPr>
              <w:rPr>
                <w:rFonts w:eastAsia="Times New Roman" w:cs="Arial"/>
                <w:sz w:val="16"/>
                <w:szCs w:val="16"/>
                <w:lang w:eastAsia="en-ZA"/>
              </w:rPr>
            </w:pPr>
          </w:p>
        </w:tc>
        <w:tc>
          <w:tcPr>
            <w:tcW w:w="378" w:type="pct"/>
            <w:shd w:val="clear" w:color="auto" w:fill="66FFC2"/>
            <w:vAlign w:val="center"/>
            <w:hideMark/>
          </w:tcPr>
          <w:p w14:paraId="2DB5BBDE"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144,636</w:t>
            </w:r>
          </w:p>
        </w:tc>
        <w:tc>
          <w:tcPr>
            <w:tcW w:w="226" w:type="pct"/>
            <w:shd w:val="clear" w:color="auto" w:fill="66FFC2"/>
            <w:vAlign w:val="center"/>
            <w:hideMark/>
          </w:tcPr>
          <w:p w14:paraId="2FF4F7D6" w14:textId="77777777" w:rsidR="00E4567F" w:rsidRPr="00E4567F" w:rsidRDefault="00E4567F" w:rsidP="00E4567F">
            <w:pPr>
              <w:rPr>
                <w:rFonts w:eastAsia="Times New Roman" w:cs="Arial"/>
                <w:sz w:val="16"/>
                <w:szCs w:val="16"/>
                <w:lang w:eastAsia="en-ZA"/>
              </w:rPr>
            </w:pPr>
          </w:p>
        </w:tc>
        <w:tc>
          <w:tcPr>
            <w:tcW w:w="317" w:type="pct"/>
            <w:shd w:val="clear" w:color="auto" w:fill="66FFC2"/>
            <w:vAlign w:val="center"/>
            <w:hideMark/>
          </w:tcPr>
          <w:p w14:paraId="63D48B75" w14:textId="77777777" w:rsidR="00E4567F" w:rsidRPr="00E4567F" w:rsidRDefault="00E4567F" w:rsidP="00E4567F">
            <w:pPr>
              <w:rPr>
                <w:rFonts w:eastAsia="Times New Roman" w:cs="Arial"/>
                <w:sz w:val="16"/>
                <w:szCs w:val="16"/>
                <w:lang w:eastAsia="en-ZA"/>
              </w:rPr>
            </w:pPr>
          </w:p>
        </w:tc>
        <w:tc>
          <w:tcPr>
            <w:tcW w:w="263" w:type="pct"/>
            <w:shd w:val="clear" w:color="auto" w:fill="66FFC2"/>
            <w:vAlign w:val="center"/>
            <w:hideMark/>
          </w:tcPr>
          <w:p w14:paraId="6BF6E29D" w14:textId="77777777" w:rsidR="00E4567F" w:rsidRPr="00E4567F" w:rsidRDefault="00E4567F" w:rsidP="00E4567F">
            <w:pPr>
              <w:rPr>
                <w:rFonts w:eastAsia="Times New Roman" w:cs="Arial"/>
                <w:sz w:val="16"/>
                <w:szCs w:val="16"/>
                <w:lang w:eastAsia="en-ZA"/>
              </w:rPr>
            </w:pPr>
          </w:p>
        </w:tc>
        <w:tc>
          <w:tcPr>
            <w:tcW w:w="378" w:type="pct"/>
            <w:shd w:val="clear" w:color="auto" w:fill="66FFC2"/>
            <w:vAlign w:val="center"/>
            <w:hideMark/>
          </w:tcPr>
          <w:p w14:paraId="79609C70"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5.88</w:t>
            </w:r>
          </w:p>
        </w:tc>
        <w:tc>
          <w:tcPr>
            <w:tcW w:w="543" w:type="pct"/>
            <w:shd w:val="clear" w:color="auto" w:fill="66FFC2"/>
            <w:vAlign w:val="center"/>
            <w:hideMark/>
          </w:tcPr>
          <w:p w14:paraId="0A5E7B30" w14:textId="77777777" w:rsidR="00E4567F" w:rsidRPr="00E4567F" w:rsidRDefault="00E4567F" w:rsidP="00E4567F">
            <w:pPr>
              <w:rPr>
                <w:rFonts w:eastAsia="Times New Roman" w:cs="Arial"/>
                <w:sz w:val="16"/>
                <w:szCs w:val="16"/>
                <w:lang w:eastAsia="en-ZA"/>
              </w:rPr>
            </w:pPr>
            <w:r w:rsidRPr="00E4567F">
              <w:rPr>
                <w:rFonts w:eastAsia="Times New Roman" w:cs="Arial"/>
                <w:sz w:val="16"/>
                <w:szCs w:val="16"/>
                <w:lang w:eastAsia="en-ZA"/>
              </w:rPr>
              <w:t>18,715</w:t>
            </w:r>
          </w:p>
        </w:tc>
        <w:tc>
          <w:tcPr>
            <w:tcW w:w="612" w:type="pct"/>
            <w:shd w:val="clear" w:color="auto" w:fill="66FFC2"/>
            <w:vAlign w:val="center"/>
            <w:hideMark/>
          </w:tcPr>
          <w:p w14:paraId="65A895B6" w14:textId="77777777" w:rsidR="00E4567F" w:rsidRPr="00E4567F" w:rsidRDefault="00E4567F" w:rsidP="00E4567F">
            <w:pPr>
              <w:rPr>
                <w:rFonts w:eastAsia="Times New Roman" w:cs="Arial"/>
                <w:sz w:val="16"/>
                <w:szCs w:val="16"/>
                <w:lang w:eastAsia="en-ZA"/>
              </w:rPr>
            </w:pPr>
          </w:p>
        </w:tc>
        <w:tc>
          <w:tcPr>
            <w:tcW w:w="570" w:type="pct"/>
            <w:shd w:val="clear" w:color="auto" w:fill="66FFC2"/>
            <w:vAlign w:val="center"/>
            <w:hideMark/>
          </w:tcPr>
          <w:p w14:paraId="0F844694" w14:textId="77777777" w:rsidR="00E4567F" w:rsidRPr="00E4567F" w:rsidRDefault="00E4567F" w:rsidP="00E4567F">
            <w:pPr>
              <w:rPr>
                <w:rFonts w:eastAsia="Times New Roman" w:cs="Arial"/>
                <w:sz w:val="16"/>
                <w:szCs w:val="16"/>
                <w:lang w:eastAsia="en-ZA"/>
              </w:rPr>
            </w:pPr>
          </w:p>
        </w:tc>
      </w:tr>
    </w:tbl>
    <w:p w14:paraId="5456E01C" w14:textId="7662295A" w:rsidR="00E4567F" w:rsidRDefault="00E4567F"/>
    <w:p w14:paraId="36C13252" w14:textId="4FDE1A61" w:rsidR="00E4567F" w:rsidRDefault="00FA1C1A">
      <w:hyperlink r:id="rId123" w:history="1">
        <w:r w:rsidR="00E4567F" w:rsidRPr="00EF636E">
          <w:rPr>
            <w:rStyle w:val="Hyperlink"/>
          </w:rPr>
          <w:t>https://www.statisticstimes.com/economy/projected-world-gdp-ranking.php</w:t>
        </w:r>
      </w:hyperlink>
    </w:p>
    <w:p w14:paraId="1634EA5D" w14:textId="77777777" w:rsidR="00E4567F" w:rsidRDefault="00E4567F">
      <w:r>
        <w:br w:type="page"/>
      </w:r>
    </w:p>
    <w:p w14:paraId="22C49C2D" w14:textId="77777777" w:rsidR="00E4567F" w:rsidRPr="00E4567F" w:rsidRDefault="00E4567F" w:rsidP="00E4567F">
      <w:pPr>
        <w:pStyle w:val="Heading1"/>
        <w:spacing w:before="120" w:after="120"/>
        <w:jc w:val="both"/>
        <w:rPr>
          <w:rFonts w:ascii="Arial" w:hAnsi="Arial" w:cs="Arial"/>
          <w:sz w:val="32"/>
          <w:szCs w:val="32"/>
        </w:rPr>
      </w:pPr>
      <w:r w:rsidRPr="00E4567F">
        <w:rPr>
          <w:rFonts w:ascii="Arial" w:hAnsi="Arial" w:cs="Arial"/>
          <w:sz w:val="32"/>
          <w:szCs w:val="32"/>
        </w:rPr>
        <w:lastRenderedPageBreak/>
        <w:t>What the rate hike means for your bond</w:t>
      </w:r>
    </w:p>
    <w:p w14:paraId="6BA81CFF" w14:textId="77777777" w:rsidR="00E4567F" w:rsidRPr="00E4567F" w:rsidRDefault="00FA1C1A" w:rsidP="00E4567F">
      <w:pPr>
        <w:spacing w:before="120" w:after="120"/>
        <w:jc w:val="both"/>
        <w:rPr>
          <w:rFonts w:cs="Arial"/>
        </w:rPr>
      </w:pPr>
      <w:hyperlink r:id="rId124" w:tooltip="Posts by News24Wire" w:history="1">
        <w:r w:rsidR="00E4567F" w:rsidRPr="00E4567F">
          <w:rPr>
            <w:rStyle w:val="Hyperlink"/>
            <w:rFonts w:cs="Arial"/>
          </w:rPr>
          <w:t>News24Wire</w:t>
        </w:r>
      </w:hyperlink>
      <w:r w:rsidR="00E4567F" w:rsidRPr="00E4567F">
        <w:rPr>
          <w:rStyle w:val="post-date"/>
          <w:rFonts w:cs="Arial"/>
        </w:rPr>
        <w:t>29 January 2016</w:t>
      </w:r>
    </w:p>
    <w:p w14:paraId="2B6D5AC0" w14:textId="573A6C5F" w:rsidR="00E4567F" w:rsidRPr="00E4567F" w:rsidRDefault="00E4567F" w:rsidP="00E4567F">
      <w:pPr>
        <w:spacing w:before="120" w:after="120"/>
        <w:jc w:val="both"/>
        <w:rPr>
          <w:rFonts w:cs="Arial"/>
        </w:rPr>
      </w:pPr>
      <w:r w:rsidRPr="00E4567F">
        <w:rPr>
          <w:rFonts w:cs="Arial"/>
          <w:noProof/>
          <w:color w:val="0000FF"/>
        </w:rPr>
        <w:drawing>
          <wp:inline distT="0" distB="0" distL="0" distR="0" wp14:anchorId="576397D5" wp14:editId="02CEEBD8">
            <wp:extent cx="5715000" cy="3810000"/>
            <wp:effectExtent l="0" t="0" r="0" b="0"/>
            <wp:docPr id="10" name="Picture 10" descr="Property">
              <a:hlinkClick xmlns:a="http://schemas.openxmlformats.org/drawingml/2006/main" r:id="rId12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roperty">
                      <a:hlinkClick r:id="rId125"/>
                    </pic:cNvPr>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5715000" cy="3810000"/>
                    </a:xfrm>
                    <a:prstGeom prst="rect">
                      <a:avLst/>
                    </a:prstGeom>
                    <a:noFill/>
                    <a:ln>
                      <a:noFill/>
                    </a:ln>
                  </pic:spPr>
                </pic:pic>
              </a:graphicData>
            </a:graphic>
          </wp:inline>
        </w:drawing>
      </w:r>
    </w:p>
    <w:p w14:paraId="1D3F31D2" w14:textId="77777777" w:rsidR="00E4567F" w:rsidRPr="00E4567F" w:rsidRDefault="00E4567F" w:rsidP="00E4567F">
      <w:pPr>
        <w:pStyle w:val="z-TopofForm"/>
        <w:spacing w:before="120" w:after="120"/>
        <w:jc w:val="both"/>
        <w:rPr>
          <w:sz w:val="22"/>
          <w:szCs w:val="22"/>
        </w:rPr>
      </w:pPr>
      <w:r w:rsidRPr="00E4567F">
        <w:rPr>
          <w:sz w:val="22"/>
          <w:szCs w:val="22"/>
        </w:rPr>
        <w:t>Top of Form</w:t>
      </w:r>
    </w:p>
    <w:p w14:paraId="1C67165D" w14:textId="77777777" w:rsidR="00E4567F" w:rsidRPr="00E4567F" w:rsidRDefault="00E4567F" w:rsidP="00E4567F">
      <w:pPr>
        <w:pStyle w:val="z-BottomofForm"/>
        <w:spacing w:before="120" w:after="120"/>
        <w:jc w:val="both"/>
        <w:rPr>
          <w:sz w:val="22"/>
          <w:szCs w:val="22"/>
        </w:rPr>
      </w:pPr>
      <w:r w:rsidRPr="00E4567F">
        <w:rPr>
          <w:sz w:val="22"/>
          <w:szCs w:val="22"/>
        </w:rPr>
        <w:t>Bottom of Form</w:t>
      </w:r>
    </w:p>
    <w:p w14:paraId="39D1B5CB" w14:textId="77777777" w:rsidR="00E4567F" w:rsidRPr="00E4567F" w:rsidRDefault="00E4567F" w:rsidP="00E4567F">
      <w:pPr>
        <w:pStyle w:val="z-TopofForm"/>
        <w:spacing w:before="120" w:after="120"/>
        <w:jc w:val="both"/>
        <w:rPr>
          <w:sz w:val="22"/>
          <w:szCs w:val="22"/>
        </w:rPr>
      </w:pPr>
      <w:r w:rsidRPr="00E4567F">
        <w:rPr>
          <w:sz w:val="22"/>
          <w:szCs w:val="22"/>
        </w:rPr>
        <w:t>Top of Form</w:t>
      </w:r>
    </w:p>
    <w:p w14:paraId="3D37F594" w14:textId="77777777" w:rsidR="00E4567F" w:rsidRPr="00E4567F" w:rsidRDefault="00E4567F" w:rsidP="00E4567F">
      <w:pPr>
        <w:pStyle w:val="z-BottomofForm"/>
        <w:spacing w:before="120" w:after="120"/>
        <w:jc w:val="both"/>
        <w:rPr>
          <w:sz w:val="22"/>
          <w:szCs w:val="22"/>
        </w:rPr>
      </w:pPr>
      <w:r w:rsidRPr="00E4567F">
        <w:rPr>
          <w:sz w:val="22"/>
          <w:szCs w:val="22"/>
        </w:rPr>
        <w:t>Bottom of Form</w:t>
      </w:r>
    </w:p>
    <w:p w14:paraId="26D4F786" w14:textId="77777777" w:rsidR="00E4567F" w:rsidRPr="00E4567F" w:rsidRDefault="00E4567F" w:rsidP="00E4567F">
      <w:pPr>
        <w:pStyle w:val="NormalWeb"/>
        <w:spacing w:before="120" w:beforeAutospacing="0" w:after="120" w:afterAutospacing="0"/>
        <w:jc w:val="both"/>
        <w:rPr>
          <w:rFonts w:ascii="Arial" w:hAnsi="Arial" w:cs="Arial"/>
          <w:sz w:val="22"/>
          <w:szCs w:val="22"/>
        </w:rPr>
      </w:pPr>
      <w:r w:rsidRPr="00E4567F">
        <w:rPr>
          <w:rFonts w:ascii="Arial" w:hAnsi="Arial" w:cs="Arial"/>
          <w:sz w:val="22"/>
          <w:szCs w:val="22"/>
        </w:rPr>
        <w:t>Affordability is going to be key for the property market this year, said Seeff Properties chair Samuel Seeff in reaction to the SA Reserve Bank (Sarb) hiking the repo rate by 50 basis points on Thursday.</w:t>
      </w:r>
    </w:p>
    <w:p w14:paraId="53289177" w14:textId="77777777" w:rsidR="00E4567F" w:rsidRPr="00E4567F" w:rsidRDefault="00E4567F" w:rsidP="00E4567F">
      <w:pPr>
        <w:pStyle w:val="NormalWeb"/>
        <w:spacing w:before="120" w:beforeAutospacing="0" w:after="120" w:afterAutospacing="0"/>
        <w:jc w:val="both"/>
        <w:rPr>
          <w:rFonts w:ascii="Arial" w:hAnsi="Arial" w:cs="Arial"/>
          <w:sz w:val="22"/>
          <w:szCs w:val="22"/>
        </w:rPr>
      </w:pPr>
      <w:r w:rsidRPr="00E4567F">
        <w:rPr>
          <w:rFonts w:ascii="Arial" w:hAnsi="Arial" w:cs="Arial"/>
          <w:sz w:val="22"/>
          <w:szCs w:val="22"/>
        </w:rPr>
        <w:t>This takes it to 6.75% and the base home loan rate beyond the 10% barrier to 10.25%.</w:t>
      </w:r>
    </w:p>
    <w:p w14:paraId="56616E80" w14:textId="77777777" w:rsidR="00E4567F" w:rsidRPr="00E4567F" w:rsidRDefault="00E4567F" w:rsidP="00E4567F">
      <w:pPr>
        <w:pStyle w:val="NormalWeb"/>
        <w:spacing w:before="120" w:beforeAutospacing="0" w:after="120" w:afterAutospacing="0"/>
        <w:jc w:val="both"/>
        <w:rPr>
          <w:rFonts w:ascii="Arial" w:hAnsi="Arial" w:cs="Arial"/>
          <w:sz w:val="22"/>
          <w:szCs w:val="22"/>
        </w:rPr>
      </w:pPr>
      <w:r w:rsidRPr="00E4567F">
        <w:rPr>
          <w:rFonts w:ascii="Arial" w:hAnsi="Arial" w:cs="Arial"/>
          <w:sz w:val="22"/>
          <w:szCs w:val="22"/>
        </w:rPr>
        <w:t>Seeff believes that although the market will absorb the rate hike, there will no doubt be a knock-on effect. The affordable and middle-income sector will feel the effect most and obtaining credit will likely become tougher for first time buyers.</w:t>
      </w:r>
    </w:p>
    <w:p w14:paraId="72D91065" w14:textId="77777777" w:rsidR="00E4567F" w:rsidRPr="00E4567F" w:rsidRDefault="00E4567F" w:rsidP="00E4567F">
      <w:pPr>
        <w:pStyle w:val="NormalWeb"/>
        <w:spacing w:before="120" w:beforeAutospacing="0" w:after="120" w:afterAutospacing="0"/>
        <w:jc w:val="both"/>
        <w:rPr>
          <w:rFonts w:ascii="Arial" w:hAnsi="Arial" w:cs="Arial"/>
          <w:sz w:val="22"/>
          <w:szCs w:val="22"/>
        </w:rPr>
      </w:pPr>
      <w:r w:rsidRPr="00E4567F">
        <w:rPr>
          <w:rFonts w:ascii="Arial" w:hAnsi="Arial" w:cs="Arial"/>
          <w:sz w:val="22"/>
          <w:szCs w:val="22"/>
        </w:rPr>
        <w:t>“Basic living and property costs will climb considerably, as will mortgage loan costs. Buyers will be looking very closely at prices and will be driving a hard bargain as they know that the market is getting tougher,” said Seeff.</w:t>
      </w:r>
    </w:p>
    <w:p w14:paraId="0C56E21D" w14:textId="77777777" w:rsidR="00E4567F" w:rsidRPr="00E4567F" w:rsidRDefault="00E4567F" w:rsidP="00E4567F">
      <w:pPr>
        <w:pStyle w:val="NormalWeb"/>
        <w:spacing w:before="120" w:beforeAutospacing="0" w:after="120" w:afterAutospacing="0"/>
        <w:jc w:val="both"/>
        <w:rPr>
          <w:rFonts w:ascii="Arial" w:hAnsi="Arial" w:cs="Arial"/>
          <w:sz w:val="22"/>
          <w:szCs w:val="22"/>
        </w:rPr>
      </w:pPr>
      <w:r w:rsidRPr="00E4567F">
        <w:rPr>
          <w:rFonts w:ascii="Arial" w:hAnsi="Arial" w:cs="Arial"/>
          <w:sz w:val="22"/>
          <w:szCs w:val="22"/>
        </w:rPr>
        <w:t>“The average price growth will deteriorate further and we may even see negative equity growth when we adjust for inflation. For now though, we are still sitting with a fairly healthy housing market, packed with plenty of demand.”</w:t>
      </w:r>
    </w:p>
    <w:p w14:paraId="7C2D29E7" w14:textId="77777777" w:rsidR="00E4567F" w:rsidRPr="00E4567F" w:rsidRDefault="00E4567F" w:rsidP="00E4567F">
      <w:pPr>
        <w:pStyle w:val="NormalWeb"/>
        <w:spacing w:before="120" w:beforeAutospacing="0" w:after="120" w:afterAutospacing="0"/>
        <w:jc w:val="both"/>
        <w:rPr>
          <w:rFonts w:ascii="Arial" w:hAnsi="Arial" w:cs="Arial"/>
          <w:sz w:val="22"/>
          <w:szCs w:val="22"/>
        </w:rPr>
      </w:pPr>
      <w:r w:rsidRPr="00E4567F">
        <w:rPr>
          <w:rFonts w:ascii="Arial" w:hAnsi="Arial" w:cs="Arial"/>
          <w:sz w:val="22"/>
          <w:szCs w:val="22"/>
        </w:rPr>
        <w:t>He added that to have a good property market, you need a good economy. Since both are heavily sentiment and confidence driven, however, he believes property will remain an attractive investment this year, although the economic decline and deteriorating confidence remain serious concerns.</w:t>
      </w:r>
    </w:p>
    <w:p w14:paraId="6BAD8C09" w14:textId="77777777" w:rsidR="00E4567F" w:rsidRPr="00E4567F" w:rsidRDefault="00E4567F" w:rsidP="00E4567F">
      <w:pPr>
        <w:pStyle w:val="NormalWeb"/>
        <w:spacing w:before="120" w:beforeAutospacing="0" w:after="120" w:afterAutospacing="0"/>
        <w:jc w:val="both"/>
        <w:rPr>
          <w:rFonts w:ascii="Arial" w:hAnsi="Arial" w:cs="Arial"/>
          <w:sz w:val="22"/>
          <w:szCs w:val="22"/>
        </w:rPr>
      </w:pPr>
      <w:r w:rsidRPr="00E4567F">
        <w:rPr>
          <w:rStyle w:val="Strong"/>
          <w:rFonts w:ascii="Arial" w:hAnsi="Arial" w:cs="Arial"/>
          <w:sz w:val="22"/>
          <w:szCs w:val="22"/>
        </w:rPr>
        <w:t>Lack of supply</w:t>
      </w:r>
    </w:p>
    <w:p w14:paraId="7BE21EB1" w14:textId="77777777" w:rsidR="00E4567F" w:rsidRPr="00E4567F" w:rsidRDefault="00E4567F" w:rsidP="00E4567F">
      <w:pPr>
        <w:pStyle w:val="NormalWeb"/>
        <w:spacing w:before="120" w:beforeAutospacing="0" w:after="120" w:afterAutospacing="0"/>
        <w:jc w:val="both"/>
        <w:rPr>
          <w:rFonts w:ascii="Arial" w:hAnsi="Arial" w:cs="Arial"/>
          <w:sz w:val="22"/>
          <w:szCs w:val="22"/>
        </w:rPr>
      </w:pPr>
      <w:r w:rsidRPr="00E4567F">
        <w:rPr>
          <w:rFonts w:ascii="Arial" w:hAnsi="Arial" w:cs="Arial"/>
          <w:sz w:val="22"/>
          <w:szCs w:val="22"/>
        </w:rPr>
        <w:t>The rate hike is likely to create a further dampening effect on housing demand as consumers are already exercising a more conservative and considered approach to both buying and selling, according to Dr Andrew Golding, chief executive of the Pam Golding Property group (PGP).</w:t>
      </w:r>
    </w:p>
    <w:p w14:paraId="2CC05C05" w14:textId="77777777" w:rsidR="00E4567F" w:rsidRPr="00E4567F" w:rsidRDefault="00E4567F" w:rsidP="00E4567F">
      <w:pPr>
        <w:pStyle w:val="NormalWeb"/>
        <w:spacing w:before="120" w:beforeAutospacing="0" w:after="120" w:afterAutospacing="0"/>
        <w:jc w:val="both"/>
        <w:rPr>
          <w:rFonts w:ascii="Arial" w:hAnsi="Arial" w:cs="Arial"/>
          <w:sz w:val="22"/>
          <w:szCs w:val="22"/>
        </w:rPr>
      </w:pPr>
      <w:r w:rsidRPr="00E4567F">
        <w:rPr>
          <w:rFonts w:ascii="Arial" w:hAnsi="Arial" w:cs="Arial"/>
          <w:sz w:val="22"/>
          <w:szCs w:val="22"/>
        </w:rPr>
        <w:t>“While doom and gloom merchants commentating on the property market abound, a more pragmatic approach presents a different picture,” said Golding.</w:t>
      </w:r>
    </w:p>
    <w:p w14:paraId="6A96FF0F" w14:textId="77777777" w:rsidR="00E4567F" w:rsidRPr="00E4567F" w:rsidRDefault="00E4567F" w:rsidP="00E4567F">
      <w:pPr>
        <w:pStyle w:val="NormalWeb"/>
        <w:spacing w:before="120" w:beforeAutospacing="0" w:after="120" w:afterAutospacing="0"/>
        <w:jc w:val="both"/>
        <w:rPr>
          <w:rFonts w:ascii="Arial" w:hAnsi="Arial" w:cs="Arial"/>
          <w:sz w:val="22"/>
          <w:szCs w:val="22"/>
        </w:rPr>
      </w:pPr>
      <w:r w:rsidRPr="00E4567F">
        <w:rPr>
          <w:rFonts w:ascii="Arial" w:hAnsi="Arial" w:cs="Arial"/>
          <w:sz w:val="22"/>
          <w:szCs w:val="22"/>
        </w:rPr>
        <w:lastRenderedPageBreak/>
        <w:t>“Firstly, given the volatility being experienced in financial markets, exchange rates, stocks and commodities, many analysts are seeing property – bricks and mortar – as a sound investment and rand hedge.”</w:t>
      </w:r>
    </w:p>
    <w:p w14:paraId="3DC3DB16" w14:textId="77777777" w:rsidR="00E4567F" w:rsidRPr="00E4567F" w:rsidRDefault="00E4567F" w:rsidP="00E4567F">
      <w:pPr>
        <w:pStyle w:val="NormalWeb"/>
        <w:spacing w:before="120" w:beforeAutospacing="0" w:after="120" w:afterAutospacing="0"/>
        <w:jc w:val="both"/>
        <w:rPr>
          <w:rFonts w:ascii="Arial" w:hAnsi="Arial" w:cs="Arial"/>
          <w:sz w:val="22"/>
          <w:szCs w:val="22"/>
        </w:rPr>
      </w:pPr>
      <w:r w:rsidRPr="00E4567F">
        <w:rPr>
          <w:rFonts w:ascii="Arial" w:hAnsi="Arial" w:cs="Arial"/>
          <w:sz w:val="22"/>
          <w:szCs w:val="22"/>
        </w:rPr>
        <w:t>He added that in South Africa property is increasingly sought after among the new generation of young, first time buyers. PGP is seeing that activity in the below R1m price range still seems to be limited mainly by a lack of supply, and not a lack of demand.</w:t>
      </w:r>
    </w:p>
    <w:p w14:paraId="1DB89F67" w14:textId="77777777" w:rsidR="00E4567F" w:rsidRPr="00E4567F" w:rsidRDefault="00E4567F" w:rsidP="00E4567F">
      <w:pPr>
        <w:pStyle w:val="NormalWeb"/>
        <w:spacing w:before="120" w:beforeAutospacing="0" w:after="120" w:afterAutospacing="0"/>
        <w:jc w:val="both"/>
        <w:rPr>
          <w:rFonts w:ascii="Arial" w:hAnsi="Arial" w:cs="Arial"/>
          <w:sz w:val="22"/>
          <w:szCs w:val="22"/>
        </w:rPr>
      </w:pPr>
      <w:r w:rsidRPr="00E4567F">
        <w:rPr>
          <w:rFonts w:ascii="Arial" w:hAnsi="Arial" w:cs="Arial"/>
          <w:sz w:val="22"/>
          <w:szCs w:val="22"/>
        </w:rPr>
        <w:t>He said one must bear in mind that interest rates are still low by historical standards. At the height of the global economic crisis the prime rate in South Africa reached 15.5%.</w:t>
      </w:r>
    </w:p>
    <w:p w14:paraId="4EC8060A" w14:textId="77777777" w:rsidR="00E4567F" w:rsidRPr="00E4567F" w:rsidRDefault="00E4567F" w:rsidP="00E4567F">
      <w:pPr>
        <w:pStyle w:val="NormalWeb"/>
        <w:spacing w:before="120" w:beforeAutospacing="0" w:after="120" w:afterAutospacing="0"/>
        <w:jc w:val="both"/>
        <w:rPr>
          <w:rFonts w:ascii="Arial" w:hAnsi="Arial" w:cs="Arial"/>
          <w:sz w:val="22"/>
          <w:szCs w:val="22"/>
        </w:rPr>
      </w:pPr>
      <w:r w:rsidRPr="00E4567F">
        <w:rPr>
          <w:rFonts w:ascii="Arial" w:hAnsi="Arial" w:cs="Arial"/>
          <w:sz w:val="22"/>
          <w:szCs w:val="22"/>
        </w:rPr>
        <w:t>Kay Geldenhuys, manager for property finance processing at bond originator ooba, said the rate hike will negatively impact the residential housing markets as many consumers are already facing increasing financial strain through dealing with elevated levels of debt and the rising cost of living expenses. Like Seeff, she also sees affordability as a key factor.</w:t>
      </w:r>
    </w:p>
    <w:p w14:paraId="6A9C7C61" w14:textId="77777777" w:rsidR="00E4567F" w:rsidRPr="00E4567F" w:rsidRDefault="00E4567F" w:rsidP="00E4567F">
      <w:pPr>
        <w:pStyle w:val="NormalWeb"/>
        <w:spacing w:before="120" w:beforeAutospacing="0" w:after="120" w:afterAutospacing="0"/>
        <w:jc w:val="both"/>
        <w:rPr>
          <w:rFonts w:ascii="Arial" w:hAnsi="Arial" w:cs="Arial"/>
          <w:sz w:val="22"/>
          <w:szCs w:val="22"/>
        </w:rPr>
      </w:pPr>
      <w:r w:rsidRPr="00E4567F">
        <w:rPr>
          <w:rFonts w:ascii="Arial" w:hAnsi="Arial" w:cs="Arial"/>
          <w:sz w:val="22"/>
          <w:szCs w:val="22"/>
        </w:rPr>
        <w:t>The repayment on a R1m home loan over a 20 year period will now cost the homeowner an additional R331 a month, she pointed out. On a 20 year home loan of R1m, the monthly instalment has risen by R1 138 per month since January 2014.</w:t>
      </w:r>
    </w:p>
    <w:p w14:paraId="105C91C6" w14:textId="77777777" w:rsidR="00E4567F" w:rsidRPr="00E4567F" w:rsidRDefault="00E4567F" w:rsidP="00E4567F">
      <w:pPr>
        <w:pStyle w:val="NormalWeb"/>
        <w:spacing w:before="120" w:beforeAutospacing="0" w:after="120" w:afterAutospacing="0"/>
        <w:jc w:val="both"/>
        <w:rPr>
          <w:rFonts w:ascii="Arial" w:hAnsi="Arial" w:cs="Arial"/>
          <w:sz w:val="22"/>
          <w:szCs w:val="22"/>
        </w:rPr>
      </w:pPr>
      <w:r w:rsidRPr="00E4567F">
        <w:rPr>
          <w:rStyle w:val="Strong"/>
          <w:rFonts w:ascii="Arial" w:hAnsi="Arial" w:cs="Arial"/>
          <w:sz w:val="22"/>
          <w:szCs w:val="22"/>
        </w:rPr>
        <w:t>Speculation</w:t>
      </w:r>
    </w:p>
    <w:p w14:paraId="4A51080F" w14:textId="77777777" w:rsidR="00E4567F" w:rsidRPr="00E4567F" w:rsidRDefault="00E4567F" w:rsidP="00E4567F">
      <w:pPr>
        <w:pStyle w:val="NormalWeb"/>
        <w:spacing w:before="120" w:beforeAutospacing="0" w:after="120" w:afterAutospacing="0"/>
        <w:jc w:val="both"/>
        <w:rPr>
          <w:rFonts w:ascii="Arial" w:hAnsi="Arial" w:cs="Arial"/>
          <w:sz w:val="22"/>
          <w:szCs w:val="22"/>
        </w:rPr>
      </w:pPr>
      <w:r w:rsidRPr="00E4567F">
        <w:rPr>
          <w:rFonts w:ascii="Arial" w:hAnsi="Arial" w:cs="Arial"/>
          <w:sz w:val="22"/>
          <w:szCs w:val="22"/>
        </w:rPr>
        <w:t>Another consequence of the rate hike will be on property speculation, according to John Loos, household and property sector strategist at FNB Home Loans.</w:t>
      </w:r>
    </w:p>
    <w:p w14:paraId="21AF0AF5" w14:textId="77777777" w:rsidR="00E4567F" w:rsidRPr="00E4567F" w:rsidRDefault="00E4567F" w:rsidP="00E4567F">
      <w:pPr>
        <w:pStyle w:val="NormalWeb"/>
        <w:spacing w:before="120" w:beforeAutospacing="0" w:after="120" w:afterAutospacing="0"/>
        <w:jc w:val="both"/>
        <w:rPr>
          <w:rFonts w:ascii="Arial" w:hAnsi="Arial" w:cs="Arial"/>
          <w:sz w:val="22"/>
          <w:szCs w:val="22"/>
        </w:rPr>
      </w:pPr>
      <w:r w:rsidRPr="00E4567F">
        <w:rPr>
          <w:rFonts w:ascii="Arial" w:hAnsi="Arial" w:cs="Arial"/>
          <w:sz w:val="22"/>
          <w:szCs w:val="22"/>
        </w:rPr>
        <w:t>“There is little room for speculation in the housing market by speculators wishing to use cheap credit to make a quick capital gain. Rapid capital growth just isn’t there at the moment,” said Loos.</w:t>
      </w:r>
    </w:p>
    <w:p w14:paraId="534414DF" w14:textId="77777777" w:rsidR="00E4567F" w:rsidRPr="00E4567F" w:rsidRDefault="00E4567F" w:rsidP="00E4567F">
      <w:pPr>
        <w:pStyle w:val="NormalWeb"/>
        <w:spacing w:before="120" w:beforeAutospacing="0" w:after="120" w:afterAutospacing="0"/>
        <w:jc w:val="both"/>
        <w:rPr>
          <w:rFonts w:ascii="Arial" w:hAnsi="Arial" w:cs="Arial"/>
          <w:sz w:val="22"/>
          <w:szCs w:val="22"/>
        </w:rPr>
      </w:pPr>
      <w:r w:rsidRPr="00E4567F">
        <w:rPr>
          <w:rFonts w:ascii="Arial" w:hAnsi="Arial" w:cs="Arial"/>
          <w:sz w:val="22"/>
          <w:szCs w:val="22"/>
        </w:rPr>
        <w:t>He anticipates house price inflation to decline from recent levels of around 7% into lower single digit territory, below consumer price index (CPI) inflation rates, through the course of this year.</w:t>
      </w:r>
    </w:p>
    <w:p w14:paraId="75E18DDE" w14:textId="77777777" w:rsidR="00E4567F" w:rsidRPr="00E4567F" w:rsidRDefault="00E4567F" w:rsidP="00E4567F">
      <w:pPr>
        <w:pStyle w:val="NormalWeb"/>
        <w:spacing w:before="120" w:beforeAutospacing="0" w:after="120" w:afterAutospacing="0"/>
        <w:jc w:val="both"/>
        <w:rPr>
          <w:rFonts w:ascii="Arial" w:hAnsi="Arial" w:cs="Arial"/>
          <w:sz w:val="22"/>
          <w:szCs w:val="22"/>
        </w:rPr>
      </w:pPr>
      <w:r w:rsidRPr="00E4567F">
        <w:rPr>
          <w:rFonts w:ascii="Arial" w:hAnsi="Arial" w:cs="Arial"/>
          <w:sz w:val="22"/>
          <w:szCs w:val="22"/>
        </w:rPr>
        <w:t>At the same time, Loos said it is best for the consumer that Sarb continues to hike interest rates slowly.</w:t>
      </w:r>
    </w:p>
    <w:p w14:paraId="690C7C33" w14:textId="77777777" w:rsidR="00E4567F" w:rsidRPr="00E4567F" w:rsidRDefault="00E4567F" w:rsidP="00E4567F">
      <w:pPr>
        <w:pStyle w:val="NormalWeb"/>
        <w:spacing w:before="120" w:beforeAutospacing="0" w:after="120" w:afterAutospacing="0"/>
        <w:jc w:val="both"/>
        <w:rPr>
          <w:rFonts w:ascii="Arial" w:hAnsi="Arial" w:cs="Arial"/>
          <w:sz w:val="22"/>
          <w:szCs w:val="22"/>
        </w:rPr>
      </w:pPr>
      <w:r w:rsidRPr="00E4567F">
        <w:rPr>
          <w:rFonts w:ascii="Arial" w:hAnsi="Arial" w:cs="Arial"/>
          <w:sz w:val="22"/>
          <w:szCs w:val="22"/>
        </w:rPr>
        <w:t>“We do believe that gradual hiking by the Sarb can assist in correcting certain macroeconomic imbalances, and is thus desirable,” he explained.</w:t>
      </w:r>
    </w:p>
    <w:p w14:paraId="1F05A8CA" w14:textId="77777777" w:rsidR="00E4567F" w:rsidRPr="00E4567F" w:rsidRDefault="00E4567F" w:rsidP="00E4567F">
      <w:pPr>
        <w:pStyle w:val="NormalWeb"/>
        <w:spacing w:before="120" w:beforeAutospacing="0" w:after="120" w:afterAutospacing="0"/>
        <w:jc w:val="both"/>
        <w:rPr>
          <w:rFonts w:ascii="Arial" w:hAnsi="Arial" w:cs="Arial"/>
          <w:sz w:val="22"/>
          <w:szCs w:val="22"/>
        </w:rPr>
      </w:pPr>
      <w:r w:rsidRPr="00E4567F">
        <w:rPr>
          <w:rFonts w:ascii="Arial" w:hAnsi="Arial" w:cs="Arial"/>
          <w:sz w:val="22"/>
          <w:szCs w:val="22"/>
        </w:rPr>
        <w:t>“Our expectation is that the Sarb will continue to nudge rates slowly higher, possibly reaching a 11% prime rate towards end-2016/early-2017. The behaviour of the rand will be key as to whether the Sarb is allowed to hike gradually, or whether it has to “speed it up” as it has done today perhaps.”</w:t>
      </w:r>
    </w:p>
    <w:p w14:paraId="37291551" w14:textId="77777777" w:rsidR="00E4567F" w:rsidRPr="00E4567F" w:rsidRDefault="00E4567F" w:rsidP="00E4567F">
      <w:pPr>
        <w:pStyle w:val="NormalWeb"/>
        <w:spacing w:before="120" w:beforeAutospacing="0" w:after="120" w:afterAutospacing="0"/>
        <w:jc w:val="both"/>
        <w:rPr>
          <w:rFonts w:ascii="Arial" w:hAnsi="Arial" w:cs="Arial"/>
          <w:sz w:val="22"/>
          <w:szCs w:val="22"/>
        </w:rPr>
      </w:pPr>
      <w:r w:rsidRPr="00E4567F">
        <w:rPr>
          <w:rFonts w:ascii="Arial" w:hAnsi="Arial" w:cs="Arial"/>
          <w:sz w:val="22"/>
          <w:szCs w:val="22"/>
        </w:rPr>
        <w:t>He said when buying homes, it would be sensible to buy well within one’s means in able to absorb more interest rate hikes should they materialise. It is also important to consider a higher price inflation rate and how it eats into disposable income, notably high inflation on housing related costs such as municipal rates and tariffs bills.</w:t>
      </w:r>
    </w:p>
    <w:p w14:paraId="3E23864A" w14:textId="77777777" w:rsidR="00E4567F" w:rsidRPr="00E4567F" w:rsidRDefault="00E4567F" w:rsidP="00E4567F">
      <w:pPr>
        <w:pStyle w:val="NormalWeb"/>
        <w:spacing w:before="120" w:beforeAutospacing="0" w:after="120" w:afterAutospacing="0"/>
        <w:jc w:val="both"/>
        <w:rPr>
          <w:rFonts w:ascii="Arial" w:hAnsi="Arial" w:cs="Arial"/>
          <w:sz w:val="22"/>
          <w:szCs w:val="22"/>
        </w:rPr>
      </w:pPr>
      <w:r w:rsidRPr="00E4567F">
        <w:rPr>
          <w:rFonts w:ascii="Arial" w:hAnsi="Arial" w:cs="Arial"/>
          <w:sz w:val="22"/>
          <w:szCs w:val="22"/>
        </w:rPr>
        <w:t>George Radford of international property investment firm IP Global, actually feels now is the time to invest in property.</w:t>
      </w:r>
    </w:p>
    <w:p w14:paraId="73E391C2" w14:textId="77777777" w:rsidR="00E4567F" w:rsidRPr="00E4567F" w:rsidRDefault="00E4567F" w:rsidP="00E4567F">
      <w:pPr>
        <w:pStyle w:val="NormalWeb"/>
        <w:spacing w:before="120" w:beforeAutospacing="0" w:after="120" w:afterAutospacing="0"/>
        <w:jc w:val="both"/>
        <w:rPr>
          <w:rFonts w:ascii="Arial" w:hAnsi="Arial" w:cs="Arial"/>
          <w:sz w:val="22"/>
          <w:szCs w:val="22"/>
        </w:rPr>
      </w:pPr>
      <w:r w:rsidRPr="00E4567F">
        <w:rPr>
          <w:rFonts w:ascii="Arial" w:hAnsi="Arial" w:cs="Arial"/>
          <w:sz w:val="22"/>
          <w:szCs w:val="22"/>
        </w:rPr>
        <w:t>“With a volatile start to the year for many global markets and a mixed economic outlook for 2016, the property investment industry remains stable,” he said.</w:t>
      </w:r>
    </w:p>
    <w:p w14:paraId="7C5BA740" w14:textId="77777777" w:rsidR="00E4567F" w:rsidRPr="00E4567F" w:rsidRDefault="00E4567F" w:rsidP="00E4567F">
      <w:pPr>
        <w:pStyle w:val="NormalWeb"/>
        <w:spacing w:before="120" w:beforeAutospacing="0" w:after="120" w:afterAutospacing="0"/>
        <w:jc w:val="both"/>
        <w:rPr>
          <w:rFonts w:ascii="Arial" w:hAnsi="Arial" w:cs="Arial"/>
          <w:sz w:val="22"/>
          <w:szCs w:val="22"/>
        </w:rPr>
      </w:pPr>
      <w:r w:rsidRPr="00E4567F">
        <w:rPr>
          <w:rFonts w:ascii="Arial" w:hAnsi="Arial" w:cs="Arial"/>
          <w:sz w:val="22"/>
          <w:szCs w:val="22"/>
        </w:rPr>
        <w:t>“Many of our clients are choosing to invest in core safe haven markets like the UK, Australia, and Germany.”</w:t>
      </w:r>
    </w:p>
    <w:p w14:paraId="632C321E" w14:textId="77777777" w:rsidR="00E4567F" w:rsidRPr="00E4567F" w:rsidRDefault="00E4567F" w:rsidP="00E4567F">
      <w:pPr>
        <w:pStyle w:val="NormalWeb"/>
        <w:spacing w:before="120" w:beforeAutospacing="0" w:after="120" w:afterAutospacing="0"/>
        <w:jc w:val="both"/>
        <w:rPr>
          <w:rFonts w:ascii="Arial" w:hAnsi="Arial" w:cs="Arial"/>
          <w:sz w:val="22"/>
          <w:szCs w:val="22"/>
        </w:rPr>
      </w:pPr>
      <w:r w:rsidRPr="00E4567F">
        <w:rPr>
          <w:rStyle w:val="Strong"/>
          <w:rFonts w:ascii="Arial" w:hAnsi="Arial" w:cs="Arial"/>
          <w:sz w:val="22"/>
          <w:szCs w:val="22"/>
        </w:rPr>
        <w:t>Bond restructuring</w:t>
      </w:r>
    </w:p>
    <w:p w14:paraId="318B8A15" w14:textId="77777777" w:rsidR="00E4567F" w:rsidRPr="00E4567F" w:rsidRDefault="00E4567F" w:rsidP="00E4567F">
      <w:pPr>
        <w:pStyle w:val="NormalWeb"/>
        <w:spacing w:before="120" w:beforeAutospacing="0" w:after="120" w:afterAutospacing="0"/>
        <w:jc w:val="both"/>
        <w:rPr>
          <w:rFonts w:ascii="Arial" w:hAnsi="Arial" w:cs="Arial"/>
          <w:sz w:val="22"/>
          <w:szCs w:val="22"/>
        </w:rPr>
      </w:pPr>
      <w:r w:rsidRPr="00E4567F">
        <w:rPr>
          <w:rFonts w:ascii="Arial" w:hAnsi="Arial" w:cs="Arial"/>
          <w:sz w:val="22"/>
          <w:szCs w:val="22"/>
        </w:rPr>
        <w:t>For Adrian Goslett, CEO of RE/MAX of Southern Africa, cautioned that those consumers who are over-indebted need to create a budget that allows them to live within their means.</w:t>
      </w:r>
    </w:p>
    <w:p w14:paraId="513D11A8" w14:textId="77777777" w:rsidR="00E4567F" w:rsidRPr="00E4567F" w:rsidRDefault="00E4567F" w:rsidP="00E4567F">
      <w:pPr>
        <w:pStyle w:val="NormalWeb"/>
        <w:spacing w:before="120" w:beforeAutospacing="0" w:after="120" w:afterAutospacing="0"/>
        <w:jc w:val="both"/>
        <w:rPr>
          <w:rFonts w:ascii="Arial" w:hAnsi="Arial" w:cs="Arial"/>
          <w:sz w:val="22"/>
          <w:szCs w:val="22"/>
        </w:rPr>
      </w:pPr>
      <w:r w:rsidRPr="00E4567F">
        <w:rPr>
          <w:rFonts w:ascii="Arial" w:hAnsi="Arial" w:cs="Arial"/>
          <w:sz w:val="22"/>
          <w:szCs w:val="22"/>
        </w:rPr>
        <w:t>“If necessary, sell the second car and get rid of credit cards. Selling a home should be the last option, as property is the one long-term asset that should yield a return over time unlike cars, boats and the like,” he said.</w:t>
      </w:r>
    </w:p>
    <w:p w14:paraId="2EDB458E" w14:textId="4B2D9320" w:rsidR="00E4567F" w:rsidRDefault="00E4567F" w:rsidP="00E4567F">
      <w:pPr>
        <w:pStyle w:val="NormalWeb"/>
        <w:spacing w:before="120" w:beforeAutospacing="0" w:after="120" w:afterAutospacing="0"/>
        <w:jc w:val="both"/>
        <w:rPr>
          <w:rFonts w:ascii="Arial" w:hAnsi="Arial" w:cs="Arial"/>
          <w:sz w:val="22"/>
          <w:szCs w:val="22"/>
        </w:rPr>
      </w:pPr>
      <w:r w:rsidRPr="00E4567F">
        <w:rPr>
          <w:rFonts w:ascii="Arial" w:hAnsi="Arial" w:cs="Arial"/>
          <w:sz w:val="22"/>
          <w:szCs w:val="22"/>
        </w:rPr>
        <w:lastRenderedPageBreak/>
        <w:t>“After a consumer has gotten rid of or ring-fenced short term debt, he or she should speak to their bank about the options of restructuring their bond.”</w:t>
      </w:r>
    </w:p>
    <w:p w14:paraId="2E72159B" w14:textId="4F7DD2AC" w:rsidR="00E4567F" w:rsidRDefault="00FA1C1A" w:rsidP="00E4567F">
      <w:pPr>
        <w:pStyle w:val="NormalWeb"/>
        <w:spacing w:before="120" w:beforeAutospacing="0" w:after="120" w:afterAutospacing="0"/>
        <w:jc w:val="both"/>
        <w:rPr>
          <w:rFonts w:ascii="Arial" w:hAnsi="Arial" w:cs="Arial"/>
          <w:sz w:val="22"/>
          <w:szCs w:val="22"/>
        </w:rPr>
      </w:pPr>
      <w:hyperlink r:id="rId127" w:history="1">
        <w:r w:rsidR="00E4567F" w:rsidRPr="00EF636E">
          <w:rPr>
            <w:rStyle w:val="Hyperlink"/>
            <w:rFonts w:ascii="Arial" w:hAnsi="Arial" w:cs="Arial"/>
            <w:sz w:val="22"/>
            <w:szCs w:val="22"/>
          </w:rPr>
          <w:t>https://businesstech.co.za/news/wealth/110605/what-the-rate-hike-means-for-your-bond/</w:t>
        </w:r>
      </w:hyperlink>
    </w:p>
    <w:p w14:paraId="5162A744" w14:textId="77777777" w:rsidR="00E4567F" w:rsidRPr="00E4567F" w:rsidRDefault="00E4567F" w:rsidP="00E4567F">
      <w:pPr>
        <w:pStyle w:val="NormalWeb"/>
        <w:spacing w:before="120" w:beforeAutospacing="0" w:after="120" w:afterAutospacing="0"/>
        <w:jc w:val="both"/>
        <w:rPr>
          <w:rFonts w:ascii="Arial" w:hAnsi="Arial" w:cs="Arial"/>
          <w:sz w:val="22"/>
          <w:szCs w:val="22"/>
        </w:rPr>
      </w:pPr>
    </w:p>
    <w:p w14:paraId="33783CDD" w14:textId="77777777" w:rsidR="00E4567F" w:rsidRDefault="00E4567F">
      <w:pPr>
        <w:rPr>
          <w:rFonts w:cs="Arial"/>
        </w:rPr>
      </w:pPr>
      <w:r>
        <w:rPr>
          <w:rFonts w:cs="Arial"/>
        </w:rPr>
        <w:br w:type="page"/>
      </w:r>
    </w:p>
    <w:p w14:paraId="1A09253D" w14:textId="186928E6" w:rsidR="00E4567F" w:rsidRPr="00E4567F" w:rsidRDefault="00E4567F" w:rsidP="00E4567F">
      <w:pPr>
        <w:spacing w:before="120" w:after="120"/>
        <w:outlineLvl w:val="0"/>
        <w:rPr>
          <w:rFonts w:eastAsia="Times New Roman" w:cs="Arial"/>
          <w:b/>
          <w:bCs/>
          <w:kern w:val="36"/>
          <w:sz w:val="32"/>
          <w:szCs w:val="32"/>
          <w:lang w:eastAsia="en-ZA"/>
        </w:rPr>
      </w:pPr>
      <w:r w:rsidRPr="00E4567F">
        <w:rPr>
          <w:rFonts w:eastAsia="Times New Roman" w:cs="Arial"/>
          <w:b/>
          <w:bCs/>
          <w:color w:val="2A2A2A"/>
          <w:kern w:val="36"/>
          <w:sz w:val="32"/>
          <w:szCs w:val="32"/>
          <w:lang w:eastAsia="en-ZA"/>
        </w:rPr>
        <w:lastRenderedPageBreak/>
        <w:t>South Africa</w:t>
      </w:r>
      <w:r w:rsidR="00FA1C1A">
        <w:rPr>
          <w:rFonts w:eastAsia="Times New Roman" w:cs="Arial"/>
          <w:b/>
          <w:bCs/>
          <w:color w:val="2A2A2A"/>
          <w:kern w:val="36"/>
          <w:sz w:val="32"/>
          <w:szCs w:val="32"/>
          <w:lang w:eastAsia="en-ZA"/>
        </w:rPr>
        <w:t>’</w:t>
      </w:r>
      <w:r w:rsidRPr="00E4567F">
        <w:rPr>
          <w:rFonts w:eastAsia="Times New Roman" w:cs="Arial"/>
          <w:b/>
          <w:bCs/>
          <w:color w:val="2A2A2A"/>
          <w:kern w:val="36"/>
          <w:sz w:val="32"/>
          <w:szCs w:val="32"/>
          <w:lang w:eastAsia="en-ZA"/>
        </w:rPr>
        <w:t>s Fiscal Policy page</w:t>
      </w:r>
    </w:p>
    <w:p w14:paraId="25968215" w14:textId="6BE6652E" w:rsidR="00E4567F" w:rsidRDefault="00E4567F" w:rsidP="00E4567F">
      <w:pPr>
        <w:spacing w:before="120" w:after="120"/>
        <w:outlineLvl w:val="1"/>
        <w:rPr>
          <w:rFonts w:eastAsia="Times New Roman" w:cs="Arial"/>
          <w:color w:val="2A2A2A"/>
          <w:lang w:eastAsia="en-ZA"/>
        </w:rPr>
      </w:pPr>
      <w:r w:rsidRPr="00E4567F">
        <w:rPr>
          <w:rFonts w:eastAsia="Times New Roman" w:cs="Arial"/>
          <w:b/>
          <w:bCs/>
          <w:color w:val="2A2A2A"/>
          <w:lang w:eastAsia="en-ZA"/>
        </w:rPr>
        <w:t>Category: Fiscal policy, taxes and government spending</w:t>
      </w:r>
      <w:r w:rsidRPr="00E4567F">
        <w:rPr>
          <w:rFonts w:eastAsia="Times New Roman" w:cs="Arial"/>
          <w:b/>
          <w:bCs/>
          <w:color w:val="2A2A2A"/>
          <w:lang w:eastAsia="en-ZA"/>
        </w:rPr>
        <w:br/>
        <w:t>Last updated: 24 April 2020</w:t>
      </w:r>
    </w:p>
    <w:p w14:paraId="025A98FC" w14:textId="00642250" w:rsidR="00E4567F" w:rsidRDefault="00E4567F" w:rsidP="00E4567F">
      <w:pPr>
        <w:spacing w:before="120" w:after="120"/>
        <w:jc w:val="both"/>
        <w:outlineLvl w:val="1"/>
        <w:rPr>
          <w:rFonts w:eastAsia="Times New Roman" w:cs="Arial"/>
          <w:color w:val="2A2A2A"/>
          <w:lang w:eastAsia="en-ZA"/>
        </w:rPr>
      </w:pPr>
      <w:r w:rsidRPr="00E4567F">
        <w:rPr>
          <w:rFonts w:eastAsia="Times New Roman" w:cs="Arial"/>
          <w:noProof/>
          <w:lang w:eastAsia="en-ZA"/>
        </w:rPr>
        <w:drawing>
          <wp:anchor distT="0" distB="0" distL="114300" distR="114300" simplePos="0" relativeHeight="251659264" behindDoc="0" locked="0" layoutInCell="1" allowOverlap="1" wp14:anchorId="02E32E43" wp14:editId="1C850BBD">
            <wp:simplePos x="0" y="0"/>
            <wp:positionH relativeFrom="margin">
              <wp:align>right</wp:align>
            </wp:positionH>
            <wp:positionV relativeFrom="paragraph">
              <wp:posOffset>9525</wp:posOffset>
            </wp:positionV>
            <wp:extent cx="2971800" cy="2371725"/>
            <wp:effectExtent l="0" t="0" r="0" b="9525"/>
            <wp:wrapSquare wrapText="bothSides"/>
            <wp:docPr id="14" name="Picture 14" descr="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icture"/>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2971800" cy="23717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7ADA40A" w14:textId="58D15F65" w:rsidR="00E4567F" w:rsidRDefault="00E4567F" w:rsidP="00E4567F">
      <w:pPr>
        <w:spacing w:before="120" w:after="120"/>
        <w:jc w:val="both"/>
        <w:outlineLvl w:val="1"/>
        <w:rPr>
          <w:rFonts w:eastAsia="Times New Roman" w:cs="Arial"/>
          <w:b/>
          <w:bCs/>
          <w:lang w:eastAsia="en-ZA"/>
        </w:rPr>
      </w:pPr>
      <w:r w:rsidRPr="00E4567F">
        <w:rPr>
          <w:rFonts w:eastAsia="Times New Roman" w:cs="Arial"/>
          <w:color w:val="2A2A2A"/>
          <w:lang w:eastAsia="en-ZA"/>
        </w:rPr>
        <w:t>This page</w:t>
      </w:r>
      <w:r w:rsidR="00FA1C1A">
        <w:rPr>
          <w:rFonts w:eastAsia="Times New Roman" w:cs="Arial"/>
          <w:color w:val="2A2A2A"/>
          <w:lang w:eastAsia="en-ZA"/>
        </w:rPr>
        <w:t>’</w:t>
      </w:r>
      <w:r w:rsidRPr="00E4567F">
        <w:rPr>
          <w:rFonts w:eastAsia="Times New Roman" w:cs="Arial"/>
          <w:color w:val="2A2A2A"/>
          <w:lang w:eastAsia="en-ZA"/>
        </w:rPr>
        <w:t>s sole purpose is to provide readers with interactive charts and graphics regarding South Africa</w:t>
      </w:r>
      <w:r w:rsidR="00FA1C1A">
        <w:rPr>
          <w:rFonts w:eastAsia="Times New Roman" w:cs="Arial"/>
          <w:color w:val="2A2A2A"/>
          <w:lang w:eastAsia="en-ZA"/>
        </w:rPr>
        <w:t>’</w:t>
      </w:r>
      <w:r w:rsidRPr="00E4567F">
        <w:rPr>
          <w:rFonts w:eastAsia="Times New Roman" w:cs="Arial"/>
          <w:color w:val="2A2A2A"/>
          <w:lang w:eastAsia="en-ZA"/>
        </w:rPr>
        <w:t>s Fiscal Policy (Government tax revenue and spending programs). The page will be updated on a</w:t>
      </w:r>
      <w:r>
        <w:rPr>
          <w:rFonts w:eastAsia="Times New Roman" w:cs="Arial"/>
          <w:color w:val="2A2A2A"/>
          <w:lang w:eastAsia="en-ZA"/>
        </w:rPr>
        <w:t>n</w:t>
      </w:r>
      <w:r w:rsidRPr="00E4567F">
        <w:rPr>
          <w:rFonts w:eastAsia="Times New Roman" w:cs="Arial"/>
          <w:color w:val="2A2A2A"/>
          <w:lang w:eastAsia="en-ZA"/>
        </w:rPr>
        <w:t xml:space="preserve"> ad</w:t>
      </w:r>
      <w:r>
        <w:rPr>
          <w:rFonts w:eastAsia="Times New Roman" w:cs="Arial"/>
          <w:color w:val="2A2A2A"/>
          <w:lang w:eastAsia="en-ZA"/>
        </w:rPr>
        <w:t>-</w:t>
      </w:r>
      <w:r w:rsidRPr="00E4567F">
        <w:rPr>
          <w:rFonts w:eastAsia="Times New Roman" w:cs="Arial"/>
          <w:color w:val="2A2A2A"/>
          <w:lang w:eastAsia="en-ZA"/>
        </w:rPr>
        <w:t>hoc basis as more data becomes available from National Treasury.</w:t>
      </w:r>
      <w:r w:rsidRPr="00E4567F">
        <w:rPr>
          <w:rFonts w:eastAsia="Times New Roman" w:cs="Arial"/>
          <w:color w:val="2A2A2A"/>
          <w:lang w:eastAsia="en-ZA"/>
        </w:rPr>
        <w:br/>
      </w:r>
      <w:r w:rsidRPr="00E4567F">
        <w:rPr>
          <w:rFonts w:eastAsia="Times New Roman" w:cs="Arial"/>
          <w:color w:val="2A2A2A"/>
          <w:lang w:eastAsia="en-ZA"/>
        </w:rPr>
        <w:br/>
        <w:t>Fiscal policy is a hot topic right now, as rating agencies deciding on South Africa</w:t>
      </w:r>
      <w:r w:rsidR="00FA1C1A">
        <w:rPr>
          <w:rFonts w:eastAsia="Times New Roman" w:cs="Arial"/>
          <w:color w:val="2A2A2A"/>
          <w:lang w:eastAsia="en-ZA"/>
        </w:rPr>
        <w:t>’</w:t>
      </w:r>
      <w:r w:rsidRPr="00E4567F">
        <w:rPr>
          <w:rFonts w:eastAsia="Times New Roman" w:cs="Arial"/>
          <w:color w:val="2A2A2A"/>
          <w:lang w:eastAsia="en-ZA"/>
        </w:rPr>
        <w:t>s credit ratings takes a very long hard look at South Africa</w:t>
      </w:r>
      <w:r w:rsidR="00FA1C1A">
        <w:rPr>
          <w:rFonts w:eastAsia="Times New Roman" w:cs="Arial"/>
          <w:color w:val="2A2A2A"/>
          <w:lang w:eastAsia="en-ZA"/>
        </w:rPr>
        <w:t>’</w:t>
      </w:r>
      <w:r w:rsidRPr="00E4567F">
        <w:rPr>
          <w:rFonts w:eastAsia="Times New Roman" w:cs="Arial"/>
          <w:color w:val="2A2A2A"/>
          <w:lang w:eastAsia="en-ZA"/>
        </w:rPr>
        <w:t>s fiscal policy.</w:t>
      </w:r>
    </w:p>
    <w:p w14:paraId="3DA0626D" w14:textId="77777777" w:rsidR="00E4567F" w:rsidRDefault="00E4567F" w:rsidP="00E4567F">
      <w:pPr>
        <w:spacing w:before="120" w:after="120"/>
        <w:jc w:val="both"/>
        <w:outlineLvl w:val="1"/>
        <w:rPr>
          <w:rFonts w:eastAsia="Times New Roman" w:cs="Arial"/>
          <w:b/>
          <w:bCs/>
          <w:lang w:eastAsia="en-ZA"/>
        </w:rPr>
      </w:pPr>
    </w:p>
    <w:p w14:paraId="755D5BC0" w14:textId="4CECCEAE" w:rsidR="00E4567F" w:rsidRPr="00E4567F" w:rsidRDefault="00E4567F" w:rsidP="00E4567F">
      <w:pPr>
        <w:spacing w:before="120" w:after="120"/>
        <w:jc w:val="both"/>
        <w:outlineLvl w:val="1"/>
        <w:rPr>
          <w:rFonts w:eastAsia="Times New Roman" w:cs="Arial"/>
          <w:b/>
          <w:bCs/>
          <w:lang w:eastAsia="en-ZA"/>
        </w:rPr>
      </w:pPr>
      <w:r w:rsidRPr="00E4567F">
        <w:rPr>
          <w:rFonts w:eastAsia="Times New Roman" w:cs="Arial"/>
          <w:b/>
          <w:bCs/>
          <w:lang w:eastAsia="en-ZA"/>
        </w:rPr>
        <w:t>24 April 2020: President Ramaphosa announces R500 bill Covid-19 relief package</w:t>
      </w:r>
    </w:p>
    <w:p w14:paraId="666E61DC" w14:textId="10FE691A" w:rsidR="00E4567F" w:rsidRDefault="00E4567F" w:rsidP="00E4567F">
      <w:pPr>
        <w:spacing w:before="120" w:after="120"/>
        <w:jc w:val="both"/>
        <w:rPr>
          <w:rFonts w:eastAsia="Times New Roman" w:cs="Arial"/>
          <w:color w:val="2A2A2A"/>
          <w:lang w:eastAsia="en-ZA"/>
        </w:rPr>
      </w:pPr>
      <w:r w:rsidRPr="00E4567F">
        <w:rPr>
          <w:rFonts w:eastAsia="Times New Roman" w:cs="Arial"/>
          <w:color w:val="2A2A2A"/>
          <w:lang w:eastAsia="en-ZA"/>
        </w:rPr>
        <w:t>Today (21 April 2020) President Ramaphosa announced a comprehensive social and economic relief package for South Africans to fight off the effects of Covid-19 is having on citizens, businesses and South Africa</w:t>
      </w:r>
      <w:r w:rsidR="00FA1C1A">
        <w:rPr>
          <w:rFonts w:eastAsia="Times New Roman" w:cs="Arial"/>
          <w:color w:val="2A2A2A"/>
          <w:lang w:eastAsia="en-ZA"/>
        </w:rPr>
        <w:t>’</w:t>
      </w:r>
      <w:r w:rsidRPr="00E4567F">
        <w:rPr>
          <w:rFonts w:eastAsia="Times New Roman" w:cs="Arial"/>
          <w:color w:val="2A2A2A"/>
          <w:lang w:eastAsia="en-ZA"/>
        </w:rPr>
        <w:t>s economy. The president stated that the R500 billion relief package is about 10% of South Africa</w:t>
      </w:r>
      <w:r w:rsidR="00FA1C1A">
        <w:rPr>
          <w:rFonts w:eastAsia="Times New Roman" w:cs="Arial"/>
          <w:color w:val="2A2A2A"/>
          <w:lang w:eastAsia="en-ZA"/>
        </w:rPr>
        <w:t>’</w:t>
      </w:r>
      <w:r w:rsidRPr="00E4567F">
        <w:rPr>
          <w:rFonts w:eastAsia="Times New Roman" w:cs="Arial"/>
          <w:color w:val="2A2A2A"/>
          <w:lang w:eastAsia="en-ZA"/>
        </w:rPr>
        <w:t>s GDP. In 2019 the total worth of South Africa</w:t>
      </w:r>
      <w:r w:rsidR="00FA1C1A">
        <w:rPr>
          <w:rFonts w:eastAsia="Times New Roman" w:cs="Arial"/>
          <w:color w:val="2A2A2A"/>
          <w:lang w:eastAsia="en-ZA"/>
        </w:rPr>
        <w:t>’</w:t>
      </w:r>
      <w:r w:rsidRPr="00E4567F">
        <w:rPr>
          <w:rFonts w:eastAsia="Times New Roman" w:cs="Arial"/>
          <w:color w:val="2A2A2A"/>
          <w:lang w:eastAsia="en-ZA"/>
        </w:rPr>
        <w:t>s economy, in current prices amounted to R5.077 trillion according to data from Statistics South Africa. So the relief package is as the president said, about 10% of the size of South Africa</w:t>
      </w:r>
      <w:r w:rsidR="00FA1C1A">
        <w:rPr>
          <w:rFonts w:eastAsia="Times New Roman" w:cs="Arial"/>
          <w:color w:val="2A2A2A"/>
          <w:lang w:eastAsia="en-ZA"/>
        </w:rPr>
        <w:t>’</w:t>
      </w:r>
      <w:r w:rsidRPr="00E4567F">
        <w:rPr>
          <w:rFonts w:eastAsia="Times New Roman" w:cs="Arial"/>
          <w:color w:val="2A2A2A"/>
          <w:lang w:eastAsia="en-ZA"/>
        </w:rPr>
        <w:t>s economy in current prices.</w:t>
      </w:r>
    </w:p>
    <w:p w14:paraId="1995CD16" w14:textId="697A137D" w:rsidR="00E4567F" w:rsidRPr="00E4567F" w:rsidRDefault="00E4567F" w:rsidP="00E4567F">
      <w:pPr>
        <w:spacing w:before="120" w:after="120"/>
        <w:jc w:val="both"/>
        <w:rPr>
          <w:rFonts w:eastAsia="Times New Roman" w:cs="Arial"/>
          <w:lang w:eastAsia="en-ZA"/>
        </w:rPr>
      </w:pPr>
      <w:r w:rsidRPr="00E4567F">
        <w:rPr>
          <w:rFonts w:eastAsia="Times New Roman" w:cs="Arial"/>
          <w:color w:val="2A2A2A"/>
          <w:lang w:eastAsia="en-ZA"/>
        </w:rPr>
        <w:t>Now where government will get the money is the question. Will the South African Reserve Bank (SARB) the SA government</w:t>
      </w:r>
      <w:r w:rsidR="00FA1C1A">
        <w:rPr>
          <w:rFonts w:eastAsia="Times New Roman" w:cs="Arial"/>
          <w:color w:val="2A2A2A"/>
          <w:lang w:eastAsia="en-ZA"/>
        </w:rPr>
        <w:t>’</w:t>
      </w:r>
      <w:r w:rsidRPr="00E4567F">
        <w:rPr>
          <w:rFonts w:eastAsia="Times New Roman" w:cs="Arial"/>
          <w:color w:val="2A2A2A"/>
          <w:lang w:eastAsia="en-ZA"/>
        </w:rPr>
        <w:t>s debt and in that way print money to fund this relief package?  Will the government borrow money from the IMF (which will come with strings attached), or will it tax its citizens to death? Where all this money will come from has not be announced by the government but we suspect its a mix off all the options we mentioned above</w:t>
      </w:r>
    </w:p>
    <w:p w14:paraId="22E9940B" w14:textId="77777777" w:rsidR="00E4567F" w:rsidRPr="00E4567F" w:rsidRDefault="00E4567F" w:rsidP="00E4567F">
      <w:pPr>
        <w:spacing w:before="120" w:after="120"/>
        <w:jc w:val="both"/>
        <w:outlineLvl w:val="1"/>
        <w:rPr>
          <w:rFonts w:eastAsia="Times New Roman" w:cs="Arial"/>
          <w:b/>
          <w:bCs/>
          <w:lang w:eastAsia="en-ZA"/>
        </w:rPr>
      </w:pPr>
      <w:r w:rsidRPr="00E4567F">
        <w:rPr>
          <w:rFonts w:eastAsia="Times New Roman" w:cs="Arial"/>
          <w:b/>
          <w:bCs/>
          <w:lang w:eastAsia="en-ZA"/>
        </w:rPr>
        <w:t>28 November 2019: Government spending increased by 7.3% in 2017/2018 </w:t>
      </w:r>
    </w:p>
    <w:p w14:paraId="307B67A7" w14:textId="48C338EA" w:rsidR="00E4567F" w:rsidRDefault="00E4567F" w:rsidP="00E4567F">
      <w:pPr>
        <w:spacing w:before="120" w:after="120"/>
        <w:jc w:val="both"/>
        <w:rPr>
          <w:rFonts w:eastAsia="Times New Roman" w:cs="Arial"/>
          <w:color w:val="2A2A2A"/>
          <w:lang w:eastAsia="en-ZA"/>
        </w:rPr>
      </w:pPr>
      <w:r w:rsidRPr="00E4567F">
        <w:rPr>
          <w:rFonts w:eastAsia="Times New Roman" w:cs="Arial"/>
          <w:color w:val="2A2A2A"/>
          <w:lang w:eastAsia="en-ZA"/>
        </w:rPr>
        <w:t>The article below discusses the latest government financial statistics as released by Statistics South Africa. And what it shows is that government spending increased by 7.3% in 2017/2018 compared to 2016/2017. And this while taxes collected are dropping. So the  only way the government of South Africa can spend more is by borrowing more. So it looks like South Africa</w:t>
      </w:r>
      <w:r w:rsidR="00FA1C1A">
        <w:rPr>
          <w:rFonts w:eastAsia="Times New Roman" w:cs="Arial"/>
          <w:color w:val="2A2A2A"/>
          <w:lang w:eastAsia="en-ZA"/>
        </w:rPr>
        <w:t>’</w:t>
      </w:r>
      <w:r w:rsidRPr="00E4567F">
        <w:rPr>
          <w:rFonts w:eastAsia="Times New Roman" w:cs="Arial"/>
          <w:color w:val="2A2A2A"/>
          <w:lang w:eastAsia="en-ZA"/>
        </w:rPr>
        <w:t>s fiscal policy is to spend spend spend and if we run out of money lets borrow money to spend spend spend. Below the article from Statistics South Africa</w:t>
      </w:r>
      <w:r>
        <w:rPr>
          <w:rFonts w:eastAsia="Times New Roman" w:cs="Arial"/>
          <w:color w:val="2A2A2A"/>
          <w:lang w:eastAsia="en-ZA"/>
        </w:rPr>
        <w:t>.</w:t>
      </w:r>
    </w:p>
    <w:p w14:paraId="75E135AC" w14:textId="09443F39" w:rsidR="00E4567F" w:rsidRPr="00E4567F" w:rsidRDefault="00E4567F" w:rsidP="00E4567F">
      <w:pPr>
        <w:spacing w:before="120" w:after="120"/>
        <w:jc w:val="both"/>
        <w:rPr>
          <w:rFonts w:eastAsia="Times New Roman" w:cs="Arial"/>
          <w:lang w:eastAsia="en-ZA"/>
        </w:rPr>
      </w:pPr>
      <w:r w:rsidRPr="00E4567F">
        <w:rPr>
          <w:rFonts w:eastAsia="Times New Roman" w:cs="Arial"/>
          <w:color w:val="2A2A2A"/>
          <w:lang w:eastAsia="en-ZA"/>
        </w:rPr>
        <w:t>The South African government spent 7,3% more in 2017/18 than it did in 2016/17. The rise was largely driven by general public services, education and health. This pushed total government spending up to R1,71 trillion1 in 2017/18, R116 billion more than the R1,59 trillion spent in 2016/17. This is according to the latest </w:t>
      </w:r>
      <w:r w:rsidRPr="00E4567F">
        <w:rPr>
          <w:rFonts w:eastAsia="Times New Roman" w:cs="Arial"/>
          <w:i/>
          <w:iCs/>
          <w:color w:val="2A2A2A"/>
          <w:lang w:eastAsia="en-ZA"/>
        </w:rPr>
        <w:t>Financial statistics of consolidated general government</w:t>
      </w:r>
      <w:r w:rsidRPr="00E4567F">
        <w:rPr>
          <w:rFonts w:eastAsia="Times New Roman" w:cs="Arial"/>
          <w:color w:val="2A2A2A"/>
          <w:lang w:eastAsia="en-ZA"/>
        </w:rPr>
        <w:t> report that summarises a range of financial data for all 712 government institutions. The 7,3% rise is higher than the increase recorded in 2016/17 (5,0%), but lower than the 10,1% recorded in 2015/16</w:t>
      </w:r>
    </w:p>
    <w:p w14:paraId="5BD4F2DB" w14:textId="77777777" w:rsidR="00E4567F" w:rsidRPr="00E4567F" w:rsidRDefault="00E4567F" w:rsidP="00E4567F">
      <w:pPr>
        <w:spacing w:before="120" w:after="120"/>
        <w:jc w:val="both"/>
        <w:rPr>
          <w:rFonts w:eastAsia="Times New Roman" w:cs="Arial"/>
          <w:lang w:eastAsia="en-ZA"/>
        </w:rPr>
      </w:pPr>
      <w:r w:rsidRPr="00E4567F">
        <w:rPr>
          <w:rFonts w:eastAsia="Times New Roman" w:cs="Arial"/>
          <w:noProof/>
          <w:lang w:eastAsia="en-ZA"/>
        </w:rPr>
        <w:lastRenderedPageBreak/>
        <w:drawing>
          <wp:inline distT="0" distB="0" distL="0" distR="0" wp14:anchorId="6369AF9E" wp14:editId="29400BF3">
            <wp:extent cx="5707380" cy="4081918"/>
            <wp:effectExtent l="0" t="0" r="7620" b="0"/>
            <wp:docPr id="2" name="Picture 2" descr="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icture"/>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5734828" cy="4101549"/>
                    </a:xfrm>
                    <a:prstGeom prst="rect">
                      <a:avLst/>
                    </a:prstGeom>
                    <a:noFill/>
                    <a:ln>
                      <a:noFill/>
                    </a:ln>
                  </pic:spPr>
                </pic:pic>
              </a:graphicData>
            </a:graphic>
          </wp:inline>
        </w:drawing>
      </w:r>
    </w:p>
    <w:p w14:paraId="27214500" w14:textId="77777777" w:rsidR="00E4567F" w:rsidRDefault="00E4567F" w:rsidP="00E4567F">
      <w:pPr>
        <w:spacing w:before="120" w:after="120"/>
        <w:jc w:val="both"/>
        <w:rPr>
          <w:rFonts w:eastAsia="Times New Roman" w:cs="Arial"/>
          <w:b/>
          <w:bCs/>
          <w:color w:val="2A2A2A"/>
          <w:lang w:eastAsia="en-ZA"/>
        </w:rPr>
      </w:pPr>
      <w:r w:rsidRPr="00E4567F">
        <w:rPr>
          <w:rFonts w:eastAsia="Times New Roman" w:cs="Arial"/>
          <w:color w:val="2A2A2A"/>
          <w:lang w:eastAsia="en-ZA"/>
        </w:rPr>
        <w:t>General public services was the biggest driver behind the 7,3% rise in 2017/18, contributing R40 billion to the R116 billion increase.3 This was spurred on by rising interest payments on government debt, as well as increased spending in financial and fiscal affairs. Education was the second biggest driver, increasing expenditure by R22 billion. The National Student Financial Aid Scheme (NSFAS) was a major contributor here, increasing payments to students in need of financial support. The Gauteng and KwaZulu-Natal provincial governments were also major contributors, increasing spending on education services. Health was the third biggest driver. A jump in spending by the Gauteng and KwaZulu-Natal provincial governments on health services was a major contributor to the R16 billion rise in overall health expenditure. </w:t>
      </w:r>
      <w:r w:rsidRPr="00E4567F">
        <w:rPr>
          <w:rFonts w:eastAsia="Times New Roman" w:cs="Arial"/>
          <w:color w:val="2A2A2A"/>
          <w:lang w:eastAsia="en-ZA"/>
        </w:rPr>
        <w:br/>
        <w:t>​</w:t>
      </w:r>
      <w:r w:rsidRPr="00E4567F">
        <w:rPr>
          <w:rFonts w:eastAsia="Times New Roman" w:cs="Arial"/>
          <w:color w:val="2A2A2A"/>
          <w:lang w:eastAsia="en-ZA"/>
        </w:rPr>
        <w:br/>
      </w:r>
      <w:r w:rsidRPr="00E4567F">
        <w:rPr>
          <w:rFonts w:eastAsia="Times New Roman" w:cs="Arial"/>
          <w:b/>
          <w:bCs/>
          <w:color w:val="2A2A2A"/>
          <w:lang w:eastAsia="en-ZA"/>
        </w:rPr>
        <w:t>Where does your tax money go?</w:t>
      </w:r>
    </w:p>
    <w:p w14:paraId="1375A0A4" w14:textId="1B322AE0" w:rsidR="00E4567F" w:rsidRPr="00E4567F" w:rsidRDefault="00E4567F" w:rsidP="00E4567F">
      <w:pPr>
        <w:spacing w:before="120" w:after="120"/>
        <w:jc w:val="both"/>
        <w:rPr>
          <w:rFonts w:eastAsia="Times New Roman" w:cs="Arial"/>
          <w:lang w:eastAsia="en-ZA"/>
        </w:rPr>
      </w:pPr>
      <w:r w:rsidRPr="00E4567F">
        <w:rPr>
          <w:rFonts w:eastAsia="Times New Roman" w:cs="Arial"/>
          <w:color w:val="2A2A2A"/>
          <w:lang w:eastAsia="en-ZA"/>
        </w:rPr>
        <w:t>If we break down the R1,71 trillion that was spent in 2017/18, government’s priorities become quite clear</w:t>
      </w:r>
      <w:r>
        <w:rPr>
          <w:rFonts w:eastAsia="Times New Roman" w:cs="Arial"/>
          <w:color w:val="2A2A2A"/>
          <w:lang w:eastAsia="en-ZA"/>
        </w:rPr>
        <w:t>.</w:t>
      </w:r>
    </w:p>
    <w:p w14:paraId="22A06854" w14:textId="77777777" w:rsidR="00E4567F" w:rsidRPr="00E4567F" w:rsidRDefault="00E4567F" w:rsidP="00E4567F">
      <w:pPr>
        <w:spacing w:before="120" w:after="120"/>
        <w:jc w:val="both"/>
        <w:rPr>
          <w:rFonts w:eastAsia="Times New Roman" w:cs="Arial"/>
          <w:lang w:eastAsia="en-ZA"/>
        </w:rPr>
      </w:pPr>
      <w:r w:rsidRPr="00E4567F">
        <w:rPr>
          <w:rFonts w:eastAsia="Times New Roman" w:cs="Arial"/>
          <w:noProof/>
          <w:lang w:eastAsia="en-ZA"/>
        </w:rPr>
        <w:lastRenderedPageBreak/>
        <w:drawing>
          <wp:inline distT="0" distB="0" distL="0" distR="0" wp14:anchorId="0B35E972" wp14:editId="469C9E35">
            <wp:extent cx="5724121" cy="5509260"/>
            <wp:effectExtent l="0" t="0" r="0" b="0"/>
            <wp:docPr id="3" name="Picture 3" descr="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icture"/>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5749983" cy="5534151"/>
                    </a:xfrm>
                    <a:prstGeom prst="rect">
                      <a:avLst/>
                    </a:prstGeom>
                    <a:noFill/>
                    <a:ln>
                      <a:noFill/>
                    </a:ln>
                  </pic:spPr>
                </pic:pic>
              </a:graphicData>
            </a:graphic>
          </wp:inline>
        </w:drawing>
      </w:r>
    </w:p>
    <w:p w14:paraId="7BCB7279" w14:textId="77777777" w:rsidR="00E4567F" w:rsidRDefault="00E4567F" w:rsidP="00E4567F">
      <w:pPr>
        <w:spacing w:before="120" w:after="120"/>
        <w:jc w:val="both"/>
        <w:rPr>
          <w:rFonts w:eastAsia="Times New Roman" w:cs="Arial"/>
          <w:color w:val="2A2A2A"/>
          <w:lang w:eastAsia="en-ZA"/>
        </w:rPr>
      </w:pPr>
      <w:r w:rsidRPr="00E4567F">
        <w:rPr>
          <w:rFonts w:eastAsia="Times New Roman" w:cs="Arial"/>
          <w:color w:val="2A2A2A"/>
          <w:lang w:eastAsia="en-ZA"/>
        </w:rPr>
        <w:t>The biggest expenditure items were general public services, education, social protection and health. A closer look reveals a couple of interesting facts. As mentioned earlier, debt payments on interest increased in 2017/18, pushing the total to R163 billion. This is more than what government spends on other functions such as housing (R71 billion) or hospitals (R114 billion). Another notable fact is that government spends more on the police than it does on primary education.</w:t>
      </w:r>
    </w:p>
    <w:p w14:paraId="168D13B9" w14:textId="394AD268" w:rsidR="00E4567F" w:rsidRDefault="00E4567F" w:rsidP="00E4567F">
      <w:pPr>
        <w:spacing w:before="120" w:after="120"/>
        <w:jc w:val="both"/>
        <w:rPr>
          <w:rFonts w:eastAsia="Times New Roman" w:cs="Arial"/>
          <w:b/>
          <w:bCs/>
          <w:color w:val="2A2A2A"/>
          <w:lang w:eastAsia="en-ZA"/>
        </w:rPr>
      </w:pPr>
      <w:r w:rsidRPr="00E4567F">
        <w:rPr>
          <w:rFonts w:eastAsia="Times New Roman" w:cs="Arial"/>
          <w:b/>
          <w:bCs/>
          <w:color w:val="2A2A2A"/>
          <w:lang w:eastAsia="en-ZA"/>
        </w:rPr>
        <w:t>Government’s contribution to the economy</w:t>
      </w:r>
    </w:p>
    <w:p w14:paraId="08648FCB" w14:textId="77777777" w:rsidR="00E4567F" w:rsidRDefault="00E4567F" w:rsidP="00E4567F">
      <w:pPr>
        <w:spacing w:before="120" w:after="120"/>
        <w:jc w:val="both"/>
        <w:rPr>
          <w:rFonts w:eastAsia="Times New Roman" w:cs="Arial"/>
          <w:color w:val="2A2A2A"/>
          <w:lang w:eastAsia="en-ZA"/>
        </w:rPr>
      </w:pPr>
      <w:r w:rsidRPr="00E4567F">
        <w:rPr>
          <w:rFonts w:eastAsia="Times New Roman" w:cs="Arial"/>
          <w:color w:val="2A2A2A"/>
          <w:lang w:eastAsia="en-ZA"/>
        </w:rPr>
        <w:t>State spending drives economic activity either through the development of large-scale infrastructural projects or through the provision of resources to the poor in the form of social grants. Investments in education and health have long-term economic benefits. Government is a major economic player, responsible for 18% of total activity in the South African economy. This makes government the second biggest industry after finance and business services.</w:t>
      </w:r>
    </w:p>
    <w:p w14:paraId="7ECF338E" w14:textId="6476B6AC" w:rsidR="00E4567F" w:rsidRPr="00E4567F" w:rsidRDefault="00E4567F" w:rsidP="00E4567F">
      <w:pPr>
        <w:spacing w:before="120" w:after="120"/>
        <w:jc w:val="both"/>
        <w:rPr>
          <w:rFonts w:eastAsia="Times New Roman" w:cs="Arial"/>
          <w:lang w:eastAsia="en-ZA"/>
        </w:rPr>
      </w:pPr>
      <w:r w:rsidRPr="00E4567F">
        <w:rPr>
          <w:rFonts w:eastAsia="Times New Roman" w:cs="Arial"/>
          <w:color w:val="2A2A2A"/>
          <w:lang w:eastAsia="en-ZA"/>
        </w:rPr>
        <w:t>The economic affairs bubble in the infographic above represents the most tangible way in which government spending affects the economy. Money is spent on infrastructure and on various industries with the aim of stimulating economic growth. Government allocated just under R180 billion (or 10% of total expenditure) to economic affairs in 2017/18. This was R9 billion more than what was spent in 2016/17. Transport spending took up R93 billion, more than half of the R180 billion. Over two-thirds of transport spending was focussed on the development and maintenance of road infrastructure.</w:t>
      </w:r>
    </w:p>
    <w:p w14:paraId="6DF9D501" w14:textId="77777777" w:rsidR="00E4567F" w:rsidRPr="00E4567F" w:rsidRDefault="00E4567F" w:rsidP="00E4567F">
      <w:pPr>
        <w:spacing w:before="120" w:after="120"/>
        <w:jc w:val="both"/>
        <w:outlineLvl w:val="1"/>
        <w:rPr>
          <w:rFonts w:eastAsia="Times New Roman" w:cs="Arial"/>
          <w:b/>
          <w:bCs/>
          <w:lang w:eastAsia="en-ZA"/>
        </w:rPr>
      </w:pPr>
      <w:r w:rsidRPr="00E4567F">
        <w:rPr>
          <w:rFonts w:eastAsia="Times New Roman" w:cs="Arial"/>
          <w:b/>
          <w:bCs/>
          <w:lang w:eastAsia="en-ZA"/>
        </w:rPr>
        <w:t>5 November 2019: Public enterprises spending less on infrastructure</w:t>
      </w:r>
    </w:p>
    <w:p w14:paraId="252E8C5A" w14:textId="77777777" w:rsidR="00E4567F" w:rsidRDefault="00E4567F" w:rsidP="00E4567F">
      <w:pPr>
        <w:spacing w:before="120" w:after="120"/>
        <w:jc w:val="both"/>
        <w:rPr>
          <w:rFonts w:eastAsia="Times New Roman" w:cs="Arial"/>
          <w:color w:val="2A2A2A"/>
          <w:lang w:eastAsia="en-ZA"/>
        </w:rPr>
      </w:pPr>
      <w:r w:rsidRPr="00E4567F">
        <w:rPr>
          <w:rFonts w:eastAsia="Times New Roman" w:cs="Arial"/>
          <w:color w:val="2A2A2A"/>
          <w:lang w:eastAsia="en-ZA"/>
        </w:rPr>
        <w:lastRenderedPageBreak/>
        <w:t>The article below covers the latest public-sector investments in infrastructure and what seems to be a clear effort by government to reign in its spending, infrastructure spending by public-enterprises including state owned enterprises declined for the 2nd year in a row. Below the article as obtained from Statistics South Africa</w:t>
      </w:r>
      <w:r>
        <w:rPr>
          <w:rFonts w:eastAsia="Times New Roman" w:cs="Arial"/>
          <w:color w:val="2A2A2A"/>
          <w:lang w:eastAsia="en-ZA"/>
        </w:rPr>
        <w:t>.</w:t>
      </w:r>
    </w:p>
    <w:p w14:paraId="26B66E9C" w14:textId="77777777" w:rsidR="00E4567F" w:rsidRDefault="00E4567F" w:rsidP="00E4567F">
      <w:pPr>
        <w:spacing w:before="120" w:after="120"/>
        <w:jc w:val="both"/>
        <w:rPr>
          <w:rFonts w:eastAsia="Times New Roman" w:cs="Arial"/>
          <w:color w:val="2A2A2A"/>
          <w:lang w:eastAsia="en-ZA"/>
        </w:rPr>
      </w:pPr>
      <w:r w:rsidRPr="00E4567F">
        <w:rPr>
          <w:rFonts w:eastAsia="Times New Roman" w:cs="Arial"/>
          <w:color w:val="2A2A2A"/>
          <w:lang w:eastAsia="en-ZA"/>
        </w:rPr>
        <w:t>Public-sector investment in the nation’s infrastructure slowed for a second consecutive year, falling by 8,2% in 2018. This followed a 4,0% decline in 2017. These decreases have seen public-sector capital expenditure slip to a level last seen in 2014. Capital expenditure is money that institutions spend to buy, maintain or upgrade fixed assets such as buildings, vehicles, land and equipment. It is the brick and mortar type of investment that forms the backbone on which the economy functions. Capital investment improves logistics, education, connectivity, facilitates trade and attracts investment. It also allows communities to access a range of services such as water, electricity and sanitation.</w:t>
      </w:r>
    </w:p>
    <w:p w14:paraId="246D8279" w14:textId="2EFD5187" w:rsidR="00E4567F" w:rsidRPr="00E4567F" w:rsidRDefault="00E4567F" w:rsidP="00E4567F">
      <w:pPr>
        <w:spacing w:before="120" w:after="120"/>
        <w:jc w:val="both"/>
        <w:rPr>
          <w:rFonts w:eastAsia="Times New Roman" w:cs="Arial"/>
          <w:lang w:eastAsia="en-ZA"/>
        </w:rPr>
      </w:pPr>
      <w:r w:rsidRPr="00E4567F">
        <w:rPr>
          <w:rFonts w:eastAsia="Times New Roman" w:cs="Arial"/>
          <w:color w:val="2A2A2A"/>
          <w:lang w:eastAsia="en-ZA"/>
        </w:rPr>
        <w:t>South Africa’s 757 public-sector institutions spent R250 billion on fixed assets in 2018. This is lower than the amounts registered in 2017 (R272 billion) and 2016 (R283 billion), according to the recently published </w:t>
      </w:r>
      <w:r w:rsidRPr="00E4567F">
        <w:rPr>
          <w:rFonts w:eastAsia="Times New Roman" w:cs="Arial"/>
          <w:i/>
          <w:iCs/>
          <w:color w:val="2A2A2A"/>
          <w:lang w:eastAsia="en-ZA"/>
        </w:rPr>
        <w:t>Capital expenditure by the public sector </w:t>
      </w:r>
      <w:r w:rsidRPr="00E4567F">
        <w:rPr>
          <w:rFonts w:eastAsia="Times New Roman" w:cs="Arial"/>
          <w:color w:val="2A2A2A"/>
          <w:lang w:eastAsia="en-ZA"/>
        </w:rPr>
        <w:t>report. This is comparable to the capital expenditure of R252 billion in 2014 (click on the image to enlarge).</w:t>
      </w:r>
    </w:p>
    <w:p w14:paraId="18332038" w14:textId="77777777" w:rsidR="00E4567F" w:rsidRPr="00E4567F" w:rsidRDefault="00E4567F" w:rsidP="00E4567F">
      <w:pPr>
        <w:spacing w:before="120" w:after="120"/>
        <w:jc w:val="both"/>
        <w:rPr>
          <w:rFonts w:eastAsia="Times New Roman" w:cs="Arial"/>
          <w:lang w:eastAsia="en-ZA"/>
        </w:rPr>
      </w:pPr>
      <w:r w:rsidRPr="00E4567F">
        <w:rPr>
          <w:rFonts w:eastAsia="Times New Roman" w:cs="Arial"/>
          <w:noProof/>
          <w:lang w:eastAsia="en-ZA"/>
        </w:rPr>
        <w:drawing>
          <wp:inline distT="0" distB="0" distL="0" distR="0" wp14:anchorId="50910671" wp14:editId="65F85DC1">
            <wp:extent cx="5703349" cy="4069080"/>
            <wp:effectExtent l="0" t="0" r="0" b="7620"/>
            <wp:docPr id="4" name="Picture 4" descr="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Picture"/>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5723468" cy="4083434"/>
                    </a:xfrm>
                    <a:prstGeom prst="rect">
                      <a:avLst/>
                    </a:prstGeom>
                    <a:noFill/>
                    <a:ln>
                      <a:noFill/>
                    </a:ln>
                  </pic:spPr>
                </pic:pic>
              </a:graphicData>
            </a:graphic>
          </wp:inline>
        </w:drawing>
      </w:r>
    </w:p>
    <w:p w14:paraId="0087674D" w14:textId="77777777" w:rsidR="00E4567F" w:rsidRDefault="00E4567F" w:rsidP="00E4567F">
      <w:pPr>
        <w:spacing w:before="120" w:after="120"/>
        <w:jc w:val="both"/>
        <w:rPr>
          <w:rFonts w:eastAsia="Times New Roman" w:cs="Arial"/>
          <w:color w:val="2A2A2A"/>
          <w:lang w:eastAsia="en-ZA"/>
        </w:rPr>
      </w:pPr>
      <w:r w:rsidRPr="00E4567F">
        <w:rPr>
          <w:rFonts w:eastAsia="Times New Roman" w:cs="Arial"/>
          <w:color w:val="2A2A2A"/>
          <w:lang w:eastAsia="en-ZA"/>
        </w:rPr>
        <w:t>Public-sector institutions include national and provincial government departments, municipalities, extra-budgetary accounts and funds, public corporations, and higher education institutions. A sharp slowdown in investment related to construction activities underpinned the decline in 2018. Spending on new construction works fell by 11,3%, from R182 billion in 2017 to R161 billion in 2018. Eskom was the major contributor, cutting its own construction spending by R10 billion, followed by Telkom (by R3 billion).</w:t>
      </w:r>
    </w:p>
    <w:p w14:paraId="2D6201E3" w14:textId="77777777" w:rsidR="00E4567F" w:rsidRDefault="00E4567F" w:rsidP="00E4567F">
      <w:pPr>
        <w:spacing w:before="120" w:after="120"/>
        <w:jc w:val="both"/>
        <w:rPr>
          <w:rFonts w:eastAsia="Times New Roman" w:cs="Arial"/>
          <w:color w:val="2A2A2A"/>
          <w:lang w:eastAsia="en-ZA"/>
        </w:rPr>
      </w:pPr>
      <w:r w:rsidRPr="00E4567F">
        <w:rPr>
          <w:rFonts w:eastAsia="Times New Roman" w:cs="Arial"/>
          <w:color w:val="2A2A2A"/>
          <w:lang w:eastAsia="en-ZA"/>
        </w:rPr>
        <w:t>The Gauteng Department of Education, the KwaZulu-Natal Department of Education and the National Department of Water Affairs also reduced construction spending, each by approximately R2 billion. The entire public sector cut back spending on plant, machinery and equipment by 2,5%. However, spending on land and existing buildings increased by 16,0% in 2018. Expenditure on transport equipment was up by 14,0%. The positive showing by these two smaller asset types was not enough to halt the slowdown in overall capital expenditure.</w:t>
      </w:r>
    </w:p>
    <w:p w14:paraId="34BE4589" w14:textId="28535895" w:rsidR="00E4567F" w:rsidRPr="00E4567F" w:rsidRDefault="00E4567F" w:rsidP="00E4567F">
      <w:pPr>
        <w:spacing w:before="120" w:after="120"/>
        <w:jc w:val="both"/>
        <w:rPr>
          <w:rFonts w:eastAsia="Times New Roman" w:cs="Arial"/>
          <w:lang w:eastAsia="en-ZA"/>
        </w:rPr>
      </w:pPr>
      <w:r w:rsidRPr="00E4567F">
        <w:rPr>
          <w:rFonts w:eastAsia="Times New Roman" w:cs="Arial"/>
          <w:color w:val="2A2A2A"/>
          <w:lang w:eastAsia="en-ZA"/>
        </w:rPr>
        <w:lastRenderedPageBreak/>
        <w:t>The drop-off in capital expenditure mirrors the recent woes experienced in the construction industry. The industry has been struggling since early 2017 and has been in recession, according to the gross domestic product (GDP) results for the second quarter of 2019.1 Eskom remains the single largest contributor to total public sector capital expenditure, even after reducing spending in 2018. South Africa’s largest power producer was responsible for just over a quarter (R63 billion) of the R250 billion public sector capital-spend. This amount was mainly focused on the power generation projects at Kusile, new electricity distribution programmes, and vehicle build programmes.</w:t>
      </w:r>
    </w:p>
    <w:p w14:paraId="027E6E44" w14:textId="77777777" w:rsidR="00E4567F" w:rsidRPr="00E4567F" w:rsidRDefault="00E4567F" w:rsidP="00E4567F">
      <w:pPr>
        <w:spacing w:before="120" w:after="120"/>
        <w:jc w:val="both"/>
        <w:rPr>
          <w:rFonts w:eastAsia="Times New Roman" w:cs="Arial"/>
          <w:lang w:eastAsia="en-ZA"/>
        </w:rPr>
      </w:pPr>
      <w:r w:rsidRPr="00E4567F">
        <w:rPr>
          <w:rFonts w:eastAsia="Times New Roman" w:cs="Arial"/>
          <w:noProof/>
          <w:lang w:eastAsia="en-ZA"/>
        </w:rPr>
        <w:drawing>
          <wp:inline distT="0" distB="0" distL="0" distR="0" wp14:anchorId="2E55767E" wp14:editId="129319D4">
            <wp:extent cx="5681988" cy="4053840"/>
            <wp:effectExtent l="0" t="0" r="0" b="3810"/>
            <wp:docPr id="16" name="Picture 16" descr="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Picture"/>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5696218" cy="4063992"/>
                    </a:xfrm>
                    <a:prstGeom prst="rect">
                      <a:avLst/>
                    </a:prstGeom>
                    <a:noFill/>
                    <a:ln>
                      <a:noFill/>
                    </a:ln>
                  </pic:spPr>
                </pic:pic>
              </a:graphicData>
            </a:graphic>
          </wp:inline>
        </w:drawing>
      </w:r>
    </w:p>
    <w:p w14:paraId="6B050131" w14:textId="77777777" w:rsidR="00E4567F" w:rsidRDefault="00E4567F" w:rsidP="00E4567F">
      <w:pPr>
        <w:spacing w:before="120" w:after="120"/>
        <w:jc w:val="both"/>
        <w:rPr>
          <w:rFonts w:eastAsia="Times New Roman" w:cs="Arial"/>
          <w:color w:val="2A2A2A"/>
          <w:lang w:eastAsia="en-ZA"/>
        </w:rPr>
      </w:pPr>
      <w:r w:rsidRPr="00E4567F">
        <w:rPr>
          <w:rFonts w:eastAsia="Times New Roman" w:cs="Arial"/>
          <w:color w:val="2A2A2A"/>
          <w:lang w:eastAsia="en-ZA"/>
        </w:rPr>
        <w:t>Transnet was the other heavyweight, incurring capital expenditure of just under R25 billion (10,0%). This was on new wagons for freight rail and various other types of equipment. The South African National Roads Agency (SANRAL) was the third biggest spender on fixed assets in 2018, contributing 4,0% to the public-sector capital expenditure pie. SANRAL focused its spending on improving road infrastructure, which includes work done on the R573 Moloto Road.</w:t>
      </w:r>
    </w:p>
    <w:p w14:paraId="4758E3D8" w14:textId="6C1DB0B3" w:rsidR="00E4567F" w:rsidRPr="00E4567F" w:rsidRDefault="00E4567F" w:rsidP="00E4567F">
      <w:pPr>
        <w:spacing w:before="120" w:after="120"/>
        <w:jc w:val="both"/>
        <w:rPr>
          <w:rFonts w:eastAsia="Times New Roman" w:cs="Arial"/>
          <w:lang w:eastAsia="en-ZA"/>
        </w:rPr>
      </w:pPr>
      <w:r w:rsidRPr="00E4567F">
        <w:rPr>
          <w:rFonts w:eastAsia="Times New Roman" w:cs="Arial"/>
          <w:color w:val="2A2A2A"/>
          <w:lang w:eastAsia="en-ZA"/>
        </w:rPr>
        <w:t>Telkom spent R7,4 billion, mostly on the expansion of its existing mobile network and the next-generation network project. Johannesburg, the most populous municipality in the country, focused the bulk of its capital expenditure on the construction of a park-and-ride facility in Greenside, the purchasing of air lifting equipment, and the development of a new community centre in Matholesville. The Passenger Rail Agency of South Africa incurred capital expenditure of R6,2 billion. The greater portion of this (R5,1 billion) was incurred on acquiring new trains and replacing old and building new network lines.</w:t>
      </w:r>
    </w:p>
    <w:p w14:paraId="3829B7B4" w14:textId="77777777" w:rsidR="00E4567F" w:rsidRPr="00E4567F" w:rsidRDefault="00E4567F" w:rsidP="00E4567F">
      <w:pPr>
        <w:spacing w:before="120" w:after="120"/>
        <w:jc w:val="both"/>
        <w:outlineLvl w:val="1"/>
        <w:rPr>
          <w:rFonts w:eastAsia="Times New Roman" w:cs="Arial"/>
          <w:b/>
          <w:bCs/>
          <w:lang w:eastAsia="en-ZA"/>
        </w:rPr>
      </w:pPr>
      <w:r w:rsidRPr="00E4567F">
        <w:rPr>
          <w:rFonts w:eastAsia="Times New Roman" w:cs="Arial"/>
          <w:b/>
          <w:bCs/>
          <w:lang w:eastAsia="en-ZA"/>
        </w:rPr>
        <w:t>31 July 2019: Taxes collected less than the 2019 budget estimate</w:t>
      </w:r>
    </w:p>
    <w:p w14:paraId="337943E4" w14:textId="22C506F0" w:rsidR="00E4567F" w:rsidRPr="00E4567F" w:rsidRDefault="00E4567F" w:rsidP="00E4567F">
      <w:pPr>
        <w:spacing w:before="120" w:after="120"/>
        <w:jc w:val="both"/>
        <w:rPr>
          <w:rFonts w:eastAsia="Times New Roman" w:cs="Arial"/>
          <w:lang w:eastAsia="en-ZA"/>
        </w:rPr>
      </w:pPr>
      <w:r w:rsidRPr="00E4567F">
        <w:rPr>
          <w:rFonts w:eastAsia="Times New Roman" w:cs="Arial"/>
          <w:color w:val="2A2A2A"/>
          <w:lang w:eastAsia="en-ZA"/>
        </w:rPr>
        <w:t>Numbers releases by the National Treasury shows the taxes collected for April, May and June of 2019. And if one extrapolates the current taxes collected for the rest of the tax year, it looks like South Africa</w:t>
      </w:r>
      <w:r w:rsidR="00FA1C1A">
        <w:rPr>
          <w:rFonts w:eastAsia="Times New Roman" w:cs="Arial"/>
          <w:color w:val="2A2A2A"/>
          <w:lang w:eastAsia="en-ZA"/>
        </w:rPr>
        <w:t>’</w:t>
      </w:r>
      <w:r w:rsidRPr="00E4567F">
        <w:rPr>
          <w:rFonts w:eastAsia="Times New Roman" w:cs="Arial"/>
          <w:color w:val="2A2A2A"/>
          <w:lang w:eastAsia="en-ZA"/>
        </w:rPr>
        <w:t>s government will be collecting farless in taxes than expected during the 2019 Budget estimate. </w:t>
      </w:r>
    </w:p>
    <w:p w14:paraId="4E2E50F4" w14:textId="77777777" w:rsidR="00E4567F" w:rsidRPr="00E4567F" w:rsidRDefault="00E4567F" w:rsidP="00E4567F">
      <w:pPr>
        <w:spacing w:before="120" w:after="120"/>
        <w:jc w:val="both"/>
        <w:rPr>
          <w:rFonts w:eastAsia="Times New Roman" w:cs="Arial"/>
          <w:lang w:eastAsia="en-ZA"/>
        </w:rPr>
      </w:pPr>
      <w:r w:rsidRPr="00E4567F">
        <w:rPr>
          <w:rFonts w:eastAsia="Times New Roman" w:cs="Arial"/>
          <w:noProof/>
          <w:lang w:eastAsia="en-ZA"/>
        </w:rPr>
        <w:drawing>
          <wp:inline distT="0" distB="0" distL="0" distR="0" wp14:anchorId="2CADE457" wp14:editId="4E6E7A87">
            <wp:extent cx="5824276" cy="426720"/>
            <wp:effectExtent l="0" t="0" r="5080" b="0"/>
            <wp:docPr id="17" name="Picture 17" descr="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Picture"/>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6636385" cy="486220"/>
                    </a:xfrm>
                    <a:prstGeom prst="rect">
                      <a:avLst/>
                    </a:prstGeom>
                    <a:noFill/>
                    <a:ln>
                      <a:noFill/>
                    </a:ln>
                  </pic:spPr>
                </pic:pic>
              </a:graphicData>
            </a:graphic>
          </wp:inline>
        </w:drawing>
      </w:r>
    </w:p>
    <w:p w14:paraId="77ADA54D" w14:textId="77777777" w:rsidR="00E4567F" w:rsidRDefault="00E4567F" w:rsidP="00E4567F">
      <w:pPr>
        <w:spacing w:before="120" w:after="120"/>
        <w:jc w:val="both"/>
        <w:rPr>
          <w:rFonts w:eastAsia="Times New Roman" w:cs="Arial"/>
          <w:color w:val="2A2A2A"/>
          <w:lang w:eastAsia="en-ZA"/>
        </w:rPr>
      </w:pPr>
      <w:r w:rsidRPr="00E4567F">
        <w:rPr>
          <w:rFonts w:eastAsia="Times New Roman" w:cs="Arial"/>
          <w:color w:val="2A2A2A"/>
          <w:lang w:eastAsia="en-ZA"/>
        </w:rPr>
        <w:lastRenderedPageBreak/>
        <w:t>The taxes collected is such a worry that the National Treasury announced to the financial markets that they will be increasing their bond auctions. Basically they said that they will be borrowing more starting very soon. Below the announcement released to the financial markets today (31 July 2019 at 09:47am</w:t>
      </w:r>
    </w:p>
    <w:p w14:paraId="3E54BF11" w14:textId="39D82153" w:rsidR="00E4567F" w:rsidRDefault="00E4567F" w:rsidP="00E4567F">
      <w:pPr>
        <w:spacing w:before="120" w:after="120"/>
        <w:jc w:val="both"/>
        <w:rPr>
          <w:rFonts w:eastAsia="Times New Roman" w:cs="Arial"/>
          <w:i/>
          <w:iCs/>
          <w:color w:val="2A2A2A"/>
          <w:lang w:eastAsia="en-ZA"/>
        </w:rPr>
      </w:pPr>
      <w:r w:rsidRPr="00E4567F">
        <w:rPr>
          <w:rFonts w:eastAsia="Times New Roman" w:cs="Arial"/>
          <w:i/>
          <w:iCs/>
          <w:color w:val="2A2A2A"/>
          <w:lang w:eastAsia="en-ZA"/>
        </w:rPr>
        <w:t>National Treasury</w:t>
      </w:r>
    </w:p>
    <w:p w14:paraId="5D9B22E3" w14:textId="77777777" w:rsidR="00E4567F" w:rsidRDefault="00E4567F" w:rsidP="00E4567F">
      <w:pPr>
        <w:spacing w:before="120" w:after="120"/>
        <w:jc w:val="both"/>
        <w:rPr>
          <w:rFonts w:eastAsia="Times New Roman" w:cs="Arial"/>
          <w:i/>
          <w:iCs/>
          <w:color w:val="2A2A2A"/>
          <w:lang w:eastAsia="en-ZA"/>
        </w:rPr>
      </w:pPr>
      <w:r w:rsidRPr="00E4567F">
        <w:rPr>
          <w:rFonts w:eastAsia="Times New Roman" w:cs="Arial"/>
          <w:i/>
          <w:iCs/>
          <w:color w:val="2A2A2A"/>
          <w:lang w:eastAsia="en-ZA"/>
        </w:rPr>
        <w:t>REPUBLIC OF SOUTH AFRICA</w:t>
      </w:r>
    </w:p>
    <w:p w14:paraId="14FE0FF7" w14:textId="77777777" w:rsidR="00E4567F" w:rsidRDefault="00E4567F" w:rsidP="00E4567F">
      <w:pPr>
        <w:spacing w:before="120" w:after="120"/>
        <w:jc w:val="both"/>
        <w:rPr>
          <w:rFonts w:eastAsia="Times New Roman" w:cs="Arial"/>
          <w:i/>
          <w:iCs/>
          <w:color w:val="2A2A2A"/>
          <w:lang w:eastAsia="en-ZA"/>
        </w:rPr>
      </w:pPr>
      <w:r w:rsidRPr="00E4567F">
        <w:rPr>
          <w:rFonts w:eastAsia="Times New Roman" w:cs="Arial"/>
          <w:i/>
          <w:iCs/>
          <w:color w:val="2A2A2A"/>
          <w:lang w:eastAsia="en-ZA"/>
        </w:rPr>
        <w:t xml:space="preserve">Private Bag X115, Pretoria, 0001. Tel: (+27 12) 315 5753. </w:t>
      </w:r>
    </w:p>
    <w:p w14:paraId="60DB4D9A" w14:textId="77777777" w:rsidR="00E4567F" w:rsidRDefault="00E4567F" w:rsidP="00E4567F">
      <w:pPr>
        <w:spacing w:before="120" w:after="120"/>
        <w:jc w:val="both"/>
        <w:rPr>
          <w:rFonts w:eastAsia="Times New Roman" w:cs="Arial"/>
          <w:b/>
          <w:bCs/>
          <w:i/>
          <w:iCs/>
          <w:color w:val="2A2A2A"/>
          <w:lang w:eastAsia="en-ZA"/>
        </w:rPr>
      </w:pPr>
      <w:r w:rsidRPr="00E4567F">
        <w:rPr>
          <w:rFonts w:eastAsia="Times New Roman" w:cs="Arial"/>
          <w:b/>
          <w:bCs/>
          <w:i/>
          <w:iCs/>
          <w:color w:val="2A2A2A"/>
          <w:lang w:eastAsia="en-ZA"/>
        </w:rPr>
        <w:t xml:space="preserve">SENS ANNOUNCEMENT </w:t>
      </w:r>
    </w:p>
    <w:p w14:paraId="5707E5F8" w14:textId="77777777" w:rsidR="00E4567F" w:rsidRDefault="00E4567F" w:rsidP="00E4567F">
      <w:pPr>
        <w:spacing w:before="120" w:after="120"/>
        <w:jc w:val="both"/>
        <w:rPr>
          <w:rFonts w:eastAsia="Times New Roman" w:cs="Arial"/>
          <w:b/>
          <w:bCs/>
          <w:i/>
          <w:iCs/>
          <w:color w:val="2A2A2A"/>
          <w:lang w:eastAsia="en-ZA"/>
        </w:rPr>
      </w:pPr>
      <w:r w:rsidRPr="00E4567F">
        <w:rPr>
          <w:rFonts w:eastAsia="Times New Roman" w:cs="Arial"/>
          <w:b/>
          <w:bCs/>
          <w:i/>
          <w:iCs/>
          <w:color w:val="2A2A2A"/>
          <w:lang w:eastAsia="en-ZA"/>
        </w:rPr>
        <w:t xml:space="preserve">INCREASE IN WEEKLY BOND AUCTION LEVELS </w:t>
      </w:r>
    </w:p>
    <w:p w14:paraId="44ADFA96" w14:textId="77777777" w:rsidR="00E4567F" w:rsidRDefault="00E4567F" w:rsidP="00E4567F">
      <w:pPr>
        <w:spacing w:before="120" w:after="120"/>
        <w:jc w:val="both"/>
        <w:rPr>
          <w:rFonts w:eastAsia="Times New Roman" w:cs="Arial"/>
          <w:b/>
          <w:bCs/>
          <w:color w:val="2A2A2A"/>
          <w:lang w:eastAsia="en-ZA"/>
        </w:rPr>
      </w:pPr>
      <w:r w:rsidRPr="00E4567F">
        <w:rPr>
          <w:rFonts w:eastAsia="Times New Roman" w:cs="Arial"/>
          <w:i/>
          <w:iCs/>
          <w:color w:val="2A2A2A"/>
          <w:lang w:eastAsia="en-ZA"/>
        </w:rPr>
        <w:t xml:space="preserve">Additional financial support to Eskom and the preliminary indication of tax revenue shortfall relative to 2019 Budget has resulted in a revised funding strategy and an increase in government borrowing requirement for 2019/20. The National Treasury hereby announces an increase in the fixed-rate and inflation-linked bonds weekly auction levels as follows; - The fixed-rate bond auction amount will increase by R1 230 million, from R3 300 million to R4 530 million. - The inflation-linked bond auction amount will increase by R280 million, from R760 million to R1 040 million. There shall be no further switch auctions for the rest of the 2019/20, as the National Treasury is currently reviewing its bond switch auction programme. In line with recent issuance patterns, the National Treasury remains committed to shortening the average maturity per auction for fixed-rate bonds. The increase will be effective for the fixed-rate and inflation-linked bond auctions as of 06 August and 16 August 2019 respectively. </w:t>
      </w:r>
      <w:r w:rsidRPr="00E4567F">
        <w:rPr>
          <w:rFonts w:eastAsia="Times New Roman" w:cs="Arial"/>
          <w:i/>
          <w:iCs/>
          <w:color w:val="2A2A2A"/>
          <w:lang w:eastAsia="en-ZA"/>
        </w:rPr>
        <w:br/>
      </w:r>
      <w:r w:rsidRPr="00E4567F">
        <w:rPr>
          <w:rFonts w:eastAsia="Times New Roman" w:cs="Arial"/>
          <w:color w:val="2A2A2A"/>
          <w:lang w:eastAsia="en-ZA"/>
        </w:rPr>
        <w:br/>
      </w:r>
      <w:r w:rsidRPr="00E4567F">
        <w:rPr>
          <w:rFonts w:eastAsia="Times New Roman" w:cs="Arial"/>
          <w:b/>
          <w:bCs/>
          <w:color w:val="2A2A2A"/>
          <w:lang w:eastAsia="en-ZA"/>
        </w:rPr>
        <w:t>END SENS</w:t>
      </w:r>
    </w:p>
    <w:p w14:paraId="61E47349" w14:textId="716940D7" w:rsidR="00E4567F" w:rsidRPr="00E4567F" w:rsidRDefault="00E4567F" w:rsidP="00E4567F">
      <w:pPr>
        <w:spacing w:before="120" w:after="120"/>
        <w:jc w:val="both"/>
        <w:rPr>
          <w:rFonts w:eastAsia="Times New Roman" w:cs="Arial"/>
          <w:lang w:eastAsia="en-ZA"/>
        </w:rPr>
      </w:pPr>
      <w:r w:rsidRPr="00E4567F">
        <w:rPr>
          <w:rFonts w:eastAsia="Times New Roman" w:cs="Arial"/>
          <w:color w:val="2A2A2A"/>
          <w:lang w:eastAsia="en-ZA"/>
        </w:rPr>
        <w:t>Buckle up South Africans. Increased government borrowings to bail out ESKOM and other SOE</w:t>
      </w:r>
      <w:r w:rsidR="00FA1C1A">
        <w:rPr>
          <w:rFonts w:eastAsia="Times New Roman" w:cs="Arial"/>
          <w:color w:val="2A2A2A"/>
          <w:lang w:eastAsia="en-ZA"/>
        </w:rPr>
        <w:t>’</w:t>
      </w:r>
      <w:r w:rsidRPr="00E4567F">
        <w:rPr>
          <w:rFonts w:eastAsia="Times New Roman" w:cs="Arial"/>
          <w:color w:val="2A2A2A"/>
          <w:lang w:eastAsia="en-ZA"/>
        </w:rPr>
        <w:t>s, low to no growth, will probably lead to further credit downgrades for South Africa, which will increase the cost of borrowing for the South African government, credit downgrades, weaker exchange rate (which could lead to higher levels of inflation, and in the long run higher overall interest rates.</w:t>
      </w:r>
    </w:p>
    <w:p w14:paraId="14279EC6" w14:textId="77777777" w:rsidR="00E4567F" w:rsidRPr="00E4567F" w:rsidRDefault="00E4567F" w:rsidP="00E4567F">
      <w:pPr>
        <w:spacing w:before="120" w:after="120"/>
        <w:jc w:val="both"/>
        <w:outlineLvl w:val="1"/>
        <w:rPr>
          <w:rFonts w:eastAsia="Times New Roman" w:cs="Arial"/>
          <w:b/>
          <w:bCs/>
          <w:lang w:eastAsia="en-ZA"/>
        </w:rPr>
      </w:pPr>
      <w:r w:rsidRPr="00E4567F">
        <w:rPr>
          <w:rFonts w:eastAsia="Times New Roman" w:cs="Arial"/>
          <w:b/>
          <w:bCs/>
          <w:lang w:eastAsia="en-ZA"/>
        </w:rPr>
        <w:t>7 July 2019: Government taxes collected for May 2019</w:t>
      </w:r>
    </w:p>
    <w:p w14:paraId="166AAF77" w14:textId="2FD34ACB" w:rsidR="00E4567F" w:rsidRDefault="00E4567F" w:rsidP="00E4567F">
      <w:pPr>
        <w:spacing w:before="120" w:after="120"/>
        <w:jc w:val="both"/>
        <w:rPr>
          <w:rFonts w:eastAsia="Times New Roman" w:cs="Arial"/>
          <w:color w:val="2A2A2A"/>
          <w:lang w:eastAsia="en-ZA"/>
        </w:rPr>
      </w:pPr>
      <w:r w:rsidRPr="00E4567F">
        <w:rPr>
          <w:rFonts w:eastAsia="Times New Roman" w:cs="Arial"/>
          <w:color w:val="2A2A2A"/>
          <w:lang w:eastAsia="en-ZA"/>
        </w:rPr>
        <w:t>We take a look at the latest revenue and expenditure numbers released by the National Treasury and track the growth of various tax types from May 2018 to May 2019. Is government collecting more or less taxes than a year ago? What is government</w:t>
      </w:r>
      <w:r w:rsidR="00FA1C1A">
        <w:rPr>
          <w:rFonts w:eastAsia="Times New Roman" w:cs="Arial"/>
          <w:color w:val="2A2A2A"/>
          <w:lang w:eastAsia="en-ZA"/>
        </w:rPr>
        <w:t>’</w:t>
      </w:r>
      <w:r w:rsidRPr="00E4567F">
        <w:rPr>
          <w:rFonts w:eastAsia="Times New Roman" w:cs="Arial"/>
          <w:color w:val="2A2A2A"/>
          <w:lang w:eastAsia="en-ZA"/>
        </w:rPr>
        <w:t>s main revenue sources looking like right now?</w:t>
      </w:r>
    </w:p>
    <w:p w14:paraId="4F02D0F2" w14:textId="6EF7D74C" w:rsidR="00E4567F" w:rsidRPr="00E4567F" w:rsidRDefault="00E4567F" w:rsidP="00E4567F">
      <w:pPr>
        <w:spacing w:before="120" w:after="120"/>
        <w:jc w:val="both"/>
        <w:rPr>
          <w:rFonts w:eastAsia="Times New Roman" w:cs="Arial"/>
          <w:lang w:eastAsia="en-ZA"/>
        </w:rPr>
      </w:pPr>
      <w:r w:rsidRPr="00E4567F">
        <w:rPr>
          <w:rFonts w:eastAsia="Times New Roman" w:cs="Arial"/>
          <w:color w:val="2A2A2A"/>
          <w:lang w:eastAsia="en-ZA"/>
        </w:rPr>
        <w:t>Taxes collected during May 2019 in South Africa.</w:t>
      </w:r>
    </w:p>
    <w:p w14:paraId="3A16A48A" w14:textId="77777777" w:rsidR="00E4567F" w:rsidRPr="00E4567F" w:rsidRDefault="00E4567F" w:rsidP="00E4567F">
      <w:pPr>
        <w:numPr>
          <w:ilvl w:val="0"/>
          <w:numId w:val="9"/>
        </w:numPr>
        <w:tabs>
          <w:tab w:val="clear" w:pos="720"/>
        </w:tabs>
        <w:spacing w:before="120" w:after="120"/>
        <w:ind w:left="397" w:hanging="284"/>
        <w:jc w:val="both"/>
        <w:rPr>
          <w:rFonts w:eastAsia="Times New Roman" w:cs="Arial"/>
          <w:lang w:eastAsia="en-ZA"/>
        </w:rPr>
      </w:pPr>
      <w:r w:rsidRPr="00E4567F">
        <w:rPr>
          <w:rFonts w:eastAsia="Times New Roman" w:cs="Arial"/>
          <w:color w:val="2A2A2A"/>
          <w:lang w:eastAsia="en-ZA"/>
        </w:rPr>
        <w:t>Personal Income Tax: R 41 .154  billion up 9.9% from May 2018</w:t>
      </w:r>
    </w:p>
    <w:p w14:paraId="11B306B2" w14:textId="77777777" w:rsidR="00E4567F" w:rsidRPr="00E4567F" w:rsidRDefault="00E4567F" w:rsidP="00E4567F">
      <w:pPr>
        <w:numPr>
          <w:ilvl w:val="0"/>
          <w:numId w:val="9"/>
        </w:numPr>
        <w:tabs>
          <w:tab w:val="clear" w:pos="720"/>
        </w:tabs>
        <w:spacing w:before="120" w:after="120"/>
        <w:ind w:left="397" w:hanging="284"/>
        <w:jc w:val="both"/>
        <w:rPr>
          <w:rFonts w:eastAsia="Times New Roman" w:cs="Arial"/>
          <w:lang w:eastAsia="en-ZA"/>
        </w:rPr>
      </w:pPr>
      <w:r w:rsidRPr="00E4567F">
        <w:rPr>
          <w:rFonts w:eastAsia="Times New Roman" w:cs="Arial"/>
          <w:color w:val="2A2A2A"/>
          <w:lang w:eastAsia="en-ZA"/>
        </w:rPr>
        <w:t>Corporate Income Tax:  R1 .250 billion   up  24.2% from May 2018</w:t>
      </w:r>
    </w:p>
    <w:p w14:paraId="1C1495DC" w14:textId="77777777" w:rsidR="00E4567F" w:rsidRPr="00E4567F" w:rsidRDefault="00E4567F" w:rsidP="00E4567F">
      <w:pPr>
        <w:numPr>
          <w:ilvl w:val="0"/>
          <w:numId w:val="9"/>
        </w:numPr>
        <w:tabs>
          <w:tab w:val="clear" w:pos="720"/>
        </w:tabs>
        <w:spacing w:before="120" w:after="120"/>
        <w:ind w:left="397" w:hanging="284"/>
        <w:jc w:val="both"/>
        <w:rPr>
          <w:rFonts w:eastAsia="Times New Roman" w:cs="Arial"/>
          <w:lang w:eastAsia="en-ZA"/>
        </w:rPr>
      </w:pPr>
      <w:r w:rsidRPr="00E4567F">
        <w:rPr>
          <w:rFonts w:eastAsia="Times New Roman" w:cs="Arial"/>
          <w:color w:val="2A2A2A"/>
          <w:lang w:eastAsia="en-ZA"/>
        </w:rPr>
        <w:t>Withholding tax on dividends : R4.519  billion up 11.6% from May 2018</w:t>
      </w:r>
    </w:p>
    <w:p w14:paraId="5CC5DF6E" w14:textId="254786AF" w:rsidR="00E4567F" w:rsidRPr="00E4567F" w:rsidRDefault="00E4567F" w:rsidP="00E4567F">
      <w:pPr>
        <w:numPr>
          <w:ilvl w:val="0"/>
          <w:numId w:val="9"/>
        </w:numPr>
        <w:tabs>
          <w:tab w:val="clear" w:pos="720"/>
        </w:tabs>
        <w:spacing w:before="120" w:after="120"/>
        <w:ind w:left="397" w:hanging="284"/>
        <w:jc w:val="both"/>
        <w:rPr>
          <w:rFonts w:eastAsia="Times New Roman" w:cs="Arial"/>
          <w:lang w:eastAsia="en-ZA"/>
        </w:rPr>
      </w:pPr>
      <w:r w:rsidRPr="00E4567F">
        <w:rPr>
          <w:rFonts w:eastAsia="Times New Roman" w:cs="Arial"/>
          <w:color w:val="2A2A2A"/>
          <w:lang w:eastAsia="en-ZA"/>
        </w:rPr>
        <w:t>Value-added tax (VAT):  R26.452 billion up just 0.4% on a year ago. A worrying sign for government is the lack of growth in VAT collected, which is indicative of struggling consumers are holding back on their expenditure. Even more worrying is the fact that VAT is the government</w:t>
      </w:r>
      <w:r w:rsidR="00FA1C1A">
        <w:rPr>
          <w:rFonts w:eastAsia="Times New Roman" w:cs="Arial"/>
          <w:color w:val="2A2A2A"/>
          <w:lang w:eastAsia="en-ZA"/>
        </w:rPr>
        <w:t>’</w:t>
      </w:r>
      <w:r w:rsidRPr="00E4567F">
        <w:rPr>
          <w:rFonts w:eastAsia="Times New Roman" w:cs="Arial"/>
          <w:color w:val="2A2A2A"/>
          <w:lang w:eastAsia="en-ZA"/>
        </w:rPr>
        <w:t>s second biggest source of tax income (bringing in around 24% of total taxes for government) as shown in the image below as obtained from Stats SA from their Financial Statistics of National Government 2017/2018</w:t>
      </w:r>
    </w:p>
    <w:p w14:paraId="2E1955E1" w14:textId="77777777" w:rsidR="00E4567F" w:rsidRPr="00E4567F" w:rsidRDefault="00E4567F" w:rsidP="00E4567F">
      <w:pPr>
        <w:spacing w:before="120" w:after="120"/>
        <w:jc w:val="both"/>
        <w:rPr>
          <w:rFonts w:eastAsia="Times New Roman" w:cs="Arial"/>
          <w:lang w:eastAsia="en-ZA"/>
        </w:rPr>
      </w:pPr>
      <w:r w:rsidRPr="00E4567F">
        <w:rPr>
          <w:rFonts w:eastAsia="Times New Roman" w:cs="Arial"/>
          <w:noProof/>
          <w:lang w:eastAsia="en-ZA"/>
        </w:rPr>
        <w:lastRenderedPageBreak/>
        <w:drawing>
          <wp:inline distT="0" distB="0" distL="0" distR="0" wp14:anchorId="5BDA102E" wp14:editId="3F8CF1DF">
            <wp:extent cx="5756275" cy="4000500"/>
            <wp:effectExtent l="0" t="0" r="0" b="0"/>
            <wp:docPr id="18" name="Picture 18" descr="South African government tax revenue sources and fiscal polic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South African government tax revenue sources and fiscal policy"/>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5776427" cy="4014505"/>
                    </a:xfrm>
                    <a:prstGeom prst="rect">
                      <a:avLst/>
                    </a:prstGeom>
                    <a:noFill/>
                    <a:ln>
                      <a:noFill/>
                    </a:ln>
                  </pic:spPr>
                </pic:pic>
              </a:graphicData>
            </a:graphic>
          </wp:inline>
        </w:drawing>
      </w:r>
    </w:p>
    <w:p w14:paraId="1D006731" w14:textId="0561DFDF" w:rsidR="00E4567F" w:rsidRPr="00E4567F" w:rsidRDefault="00E4567F" w:rsidP="00E4567F">
      <w:pPr>
        <w:spacing w:before="120" w:after="120"/>
        <w:jc w:val="both"/>
        <w:rPr>
          <w:rFonts w:eastAsia="Times New Roman" w:cs="Arial"/>
          <w:lang w:eastAsia="en-ZA"/>
        </w:rPr>
      </w:pPr>
      <w:r w:rsidRPr="00E4567F">
        <w:rPr>
          <w:rFonts w:eastAsia="Times New Roman" w:cs="Arial"/>
          <w:color w:val="2A2A2A"/>
          <w:lang w:eastAsia="en-ZA"/>
        </w:rPr>
        <w:t>As the pie chart above shows personal income tax (PIT) makes up over a third of South Africa</w:t>
      </w:r>
      <w:r w:rsidR="00FA1C1A">
        <w:rPr>
          <w:rFonts w:eastAsia="Times New Roman" w:cs="Arial"/>
          <w:color w:val="2A2A2A"/>
          <w:lang w:eastAsia="en-ZA"/>
        </w:rPr>
        <w:t>’</w:t>
      </w:r>
      <w:r w:rsidRPr="00E4567F">
        <w:rPr>
          <w:rFonts w:eastAsia="Times New Roman" w:cs="Arial"/>
          <w:color w:val="2A2A2A"/>
          <w:lang w:eastAsia="en-ZA"/>
        </w:rPr>
        <w:t xml:space="preserve">s tax revenues. The problem is that only 4.5 million people pay personal income tax in South Africa, this while government uses the taxes collected to pay social grants to 17 million South Africans. So for every  1 personal income tax payers in South Africa there are 3.8 people receiving social grants. This is unsustainable and the middle class cannot keep carrying the poor and unemployed in South Africa. They will crack at some point and will either leave the country in their droves to avoid the excess taxes being placed on them or they will start forming part of the </w:t>
      </w:r>
      <w:r w:rsidR="00FA1C1A">
        <w:rPr>
          <w:rFonts w:eastAsia="Times New Roman" w:cs="Arial"/>
          <w:color w:val="2A2A2A"/>
          <w:lang w:eastAsia="en-ZA"/>
        </w:rPr>
        <w:t>“</w:t>
      </w:r>
      <w:r w:rsidRPr="00E4567F">
        <w:rPr>
          <w:rFonts w:eastAsia="Times New Roman" w:cs="Arial"/>
          <w:color w:val="2A2A2A"/>
          <w:lang w:eastAsia="en-ZA"/>
        </w:rPr>
        <w:t>tax revolt</w:t>
      </w:r>
      <w:r w:rsidR="00FA1C1A">
        <w:rPr>
          <w:rFonts w:eastAsia="Times New Roman" w:cs="Arial"/>
          <w:color w:val="2A2A2A"/>
          <w:lang w:eastAsia="en-ZA"/>
        </w:rPr>
        <w:t>”</w:t>
      </w:r>
      <w:r w:rsidRPr="00E4567F">
        <w:rPr>
          <w:rFonts w:eastAsia="Times New Roman" w:cs="Arial"/>
          <w:color w:val="2A2A2A"/>
          <w:lang w:eastAsia="en-ZA"/>
        </w:rPr>
        <w:t xml:space="preserve"> in which they refuse to continue to pay taxes to the South African government. Part of South Africa</w:t>
      </w:r>
      <w:r w:rsidR="00FA1C1A">
        <w:rPr>
          <w:rFonts w:eastAsia="Times New Roman" w:cs="Arial"/>
          <w:color w:val="2A2A2A"/>
          <w:lang w:eastAsia="en-ZA"/>
        </w:rPr>
        <w:t>’</w:t>
      </w:r>
      <w:r w:rsidRPr="00E4567F">
        <w:rPr>
          <w:rFonts w:eastAsia="Times New Roman" w:cs="Arial"/>
          <w:color w:val="2A2A2A"/>
          <w:lang w:eastAsia="en-ZA"/>
        </w:rPr>
        <w:t>s fiscal policy should focus on widening the tax net to ensure a greater number of people pay tax so as to relieve the pressure on the middle class in South Africa.</w:t>
      </w:r>
    </w:p>
    <w:p w14:paraId="33837D19" w14:textId="77777777" w:rsidR="00E4567F" w:rsidRPr="00E4567F" w:rsidRDefault="00E4567F" w:rsidP="00E4567F">
      <w:pPr>
        <w:spacing w:before="120" w:after="120"/>
        <w:jc w:val="both"/>
        <w:outlineLvl w:val="1"/>
        <w:rPr>
          <w:rFonts w:eastAsia="Times New Roman" w:cs="Arial"/>
          <w:b/>
          <w:bCs/>
          <w:lang w:eastAsia="en-ZA"/>
        </w:rPr>
      </w:pPr>
      <w:r w:rsidRPr="00E4567F">
        <w:rPr>
          <w:rFonts w:eastAsia="Times New Roman" w:cs="Arial"/>
          <w:b/>
          <w:bCs/>
          <w:lang w:eastAsia="en-ZA"/>
        </w:rPr>
        <w:t>30 June 2019: Government contingent liabilities and financial guarantees</w:t>
      </w:r>
    </w:p>
    <w:p w14:paraId="5662E7B2" w14:textId="3219EFB3" w:rsidR="00E4567F" w:rsidRPr="00E4567F" w:rsidRDefault="00E4567F" w:rsidP="00E4567F">
      <w:pPr>
        <w:spacing w:before="120" w:after="120"/>
        <w:jc w:val="both"/>
        <w:rPr>
          <w:rFonts w:eastAsia="Times New Roman" w:cs="Arial"/>
          <w:lang w:eastAsia="en-ZA"/>
        </w:rPr>
      </w:pPr>
      <w:r w:rsidRPr="00E4567F">
        <w:rPr>
          <w:rFonts w:eastAsia="Times New Roman" w:cs="Arial"/>
          <w:color w:val="2A2A2A"/>
          <w:lang w:eastAsia="en-ZA"/>
        </w:rPr>
        <w:t>In the latest quarterly bulletin published by the South African Reserve Bank (SARB) they cover government</w:t>
      </w:r>
      <w:r w:rsidR="00FA1C1A">
        <w:rPr>
          <w:rFonts w:eastAsia="Times New Roman" w:cs="Arial"/>
          <w:color w:val="2A2A2A"/>
          <w:lang w:eastAsia="en-ZA"/>
        </w:rPr>
        <w:t>’</w:t>
      </w:r>
      <w:r w:rsidRPr="00E4567F">
        <w:rPr>
          <w:rFonts w:eastAsia="Times New Roman" w:cs="Arial"/>
          <w:color w:val="2A2A2A"/>
          <w:lang w:eastAsia="en-ZA"/>
        </w:rPr>
        <w:t>s financial guarantees it is exposed to as well as contingent liabilities which could provide potential  additional fiscal expenditure for government. Contingent liabilities represent the exposure of national government to guarantees and other obligations that could change into fiscal obligations and result in expenditure upon the occurrence of a specific event. The exposure to guarantees includes amounts drawn against financial guarantees and accrued interest. </w:t>
      </w:r>
      <w:r w:rsidRPr="00E4567F">
        <w:rPr>
          <w:rFonts w:eastAsia="Times New Roman" w:cs="Arial"/>
          <w:color w:val="2A2A2A"/>
          <w:lang w:eastAsia="en-ZA"/>
        </w:rPr>
        <w:br/>
      </w:r>
      <w:r w:rsidRPr="00E4567F">
        <w:rPr>
          <w:rFonts w:eastAsia="Times New Roman" w:cs="Arial"/>
          <w:color w:val="2A2A2A"/>
          <w:lang w:eastAsia="en-ZA"/>
        </w:rPr>
        <w:br/>
        <w:t>The image below shows governments contingent liabilities as per the latest quarterly bulletin.</w:t>
      </w:r>
    </w:p>
    <w:p w14:paraId="2B5F79AC" w14:textId="77777777" w:rsidR="00E4567F" w:rsidRPr="00E4567F" w:rsidRDefault="00E4567F" w:rsidP="00E4567F">
      <w:pPr>
        <w:spacing w:before="120" w:after="120"/>
        <w:jc w:val="both"/>
        <w:rPr>
          <w:rFonts w:eastAsia="Times New Roman" w:cs="Arial"/>
          <w:lang w:eastAsia="en-ZA"/>
        </w:rPr>
      </w:pPr>
      <w:r w:rsidRPr="00E4567F">
        <w:rPr>
          <w:rFonts w:eastAsia="Times New Roman" w:cs="Arial"/>
          <w:noProof/>
          <w:lang w:eastAsia="en-ZA"/>
        </w:rPr>
        <w:lastRenderedPageBreak/>
        <w:drawing>
          <wp:inline distT="0" distB="0" distL="0" distR="0" wp14:anchorId="6F8ABAB9" wp14:editId="382A3D8C">
            <wp:extent cx="4069080" cy="5829300"/>
            <wp:effectExtent l="0" t="0" r="7620" b="0"/>
            <wp:docPr id="19" name="Picture 19" descr="South Africa government contingent liabiliti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outh Africa government contingent liabilities"/>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4069080" cy="5829300"/>
                    </a:xfrm>
                    <a:prstGeom prst="rect">
                      <a:avLst/>
                    </a:prstGeom>
                    <a:noFill/>
                    <a:ln>
                      <a:noFill/>
                    </a:ln>
                  </pic:spPr>
                </pic:pic>
              </a:graphicData>
            </a:graphic>
          </wp:inline>
        </w:drawing>
      </w:r>
    </w:p>
    <w:p w14:paraId="48DBC0C7" w14:textId="5D1E2174" w:rsidR="00E4567F" w:rsidRDefault="00E4567F" w:rsidP="00E4567F">
      <w:pPr>
        <w:spacing w:before="120" w:after="120"/>
        <w:jc w:val="both"/>
        <w:rPr>
          <w:rFonts w:eastAsia="Times New Roman" w:cs="Arial"/>
          <w:i/>
          <w:iCs/>
          <w:color w:val="2A2A2A"/>
          <w:lang w:eastAsia="en-ZA"/>
        </w:rPr>
      </w:pPr>
      <w:r w:rsidRPr="00E4567F">
        <w:rPr>
          <w:rFonts w:eastAsia="Times New Roman" w:cs="Arial"/>
          <w:color w:val="2A2A2A"/>
          <w:lang w:eastAsia="en-ZA"/>
        </w:rPr>
        <w:t>Government</w:t>
      </w:r>
      <w:r w:rsidR="00FA1C1A">
        <w:rPr>
          <w:rFonts w:eastAsia="Times New Roman" w:cs="Arial"/>
          <w:color w:val="2A2A2A"/>
          <w:lang w:eastAsia="en-ZA"/>
        </w:rPr>
        <w:t>’</w:t>
      </w:r>
      <w:r w:rsidRPr="00E4567F">
        <w:rPr>
          <w:rFonts w:eastAsia="Times New Roman" w:cs="Arial"/>
          <w:color w:val="2A2A2A"/>
          <w:lang w:eastAsia="en-ZA"/>
        </w:rPr>
        <w:t>s contingent liabilities is forecast to top R1 trillion by 2022 fiscal year. The worry is the continued increase in the contingent liabilities. It doesn</w:t>
      </w:r>
      <w:r w:rsidR="00FA1C1A">
        <w:rPr>
          <w:rFonts w:eastAsia="Times New Roman" w:cs="Arial"/>
          <w:color w:val="2A2A2A"/>
          <w:lang w:eastAsia="en-ZA"/>
        </w:rPr>
        <w:t>’</w:t>
      </w:r>
      <w:r w:rsidRPr="00E4567F">
        <w:rPr>
          <w:rFonts w:eastAsia="Times New Roman" w:cs="Arial"/>
          <w:color w:val="2A2A2A"/>
          <w:lang w:eastAsia="en-ZA"/>
        </w:rPr>
        <w:t xml:space="preserve">t look like it is set to be curbed or slowed down at all in the next couple of years. According to the Reserve Bank </w:t>
      </w:r>
      <w:r w:rsidR="00FA1C1A">
        <w:rPr>
          <w:rFonts w:eastAsia="Times New Roman" w:cs="Arial"/>
          <w:color w:val="2A2A2A"/>
          <w:lang w:eastAsia="en-ZA"/>
        </w:rPr>
        <w:t>“</w:t>
      </w:r>
      <w:r w:rsidRPr="00E4567F">
        <w:rPr>
          <w:rFonts w:eastAsia="Times New Roman" w:cs="Arial"/>
          <w:i/>
          <w:iCs/>
          <w:color w:val="2A2A2A"/>
          <w:lang w:eastAsia="en-ZA"/>
        </w:rPr>
        <w:t>The value of contingent liabilities of R880 billion as at 31 March 20196 is likely to increase to R1.0 trillion by the end of fiscal 2021/22. However, the contribution of exposure to guarantees is expected to decline from 60% to 52% over the period, while that of other obligations is expected to increase.</w:t>
      </w:r>
      <w:r w:rsidR="00FA1C1A">
        <w:rPr>
          <w:rFonts w:eastAsia="Times New Roman" w:cs="Arial"/>
          <w:i/>
          <w:iCs/>
          <w:color w:val="2A2A2A"/>
          <w:lang w:eastAsia="en-ZA"/>
        </w:rPr>
        <w:t>”</w:t>
      </w:r>
    </w:p>
    <w:p w14:paraId="28DA3D46" w14:textId="49D2C3B7" w:rsidR="00E4567F" w:rsidRDefault="00E4567F" w:rsidP="00E4567F">
      <w:pPr>
        <w:spacing w:before="120" w:after="120"/>
        <w:jc w:val="both"/>
        <w:rPr>
          <w:rFonts w:eastAsia="Times New Roman" w:cs="Arial"/>
          <w:color w:val="2A2A2A"/>
          <w:lang w:eastAsia="en-ZA"/>
        </w:rPr>
      </w:pPr>
      <w:r w:rsidRPr="00E4567F">
        <w:rPr>
          <w:rFonts w:eastAsia="Times New Roman" w:cs="Arial"/>
          <w:color w:val="2A2A2A"/>
          <w:lang w:eastAsia="en-ZA"/>
        </w:rPr>
        <w:t>The image below shows government</w:t>
      </w:r>
      <w:r w:rsidR="00FA1C1A">
        <w:rPr>
          <w:rFonts w:eastAsia="Times New Roman" w:cs="Arial"/>
          <w:color w:val="2A2A2A"/>
          <w:lang w:eastAsia="en-ZA"/>
        </w:rPr>
        <w:t>’</w:t>
      </w:r>
      <w:r w:rsidRPr="00E4567F">
        <w:rPr>
          <w:rFonts w:eastAsia="Times New Roman" w:cs="Arial"/>
          <w:color w:val="2A2A2A"/>
          <w:lang w:eastAsia="en-ZA"/>
        </w:rPr>
        <w:t>s financial guarantees. The Reserve Bank had the following to say about government</w:t>
      </w:r>
      <w:r w:rsidR="00FA1C1A">
        <w:rPr>
          <w:rFonts w:eastAsia="Times New Roman" w:cs="Arial"/>
          <w:color w:val="2A2A2A"/>
          <w:lang w:eastAsia="en-ZA"/>
        </w:rPr>
        <w:t>’</w:t>
      </w:r>
      <w:r w:rsidRPr="00E4567F">
        <w:rPr>
          <w:rFonts w:eastAsia="Times New Roman" w:cs="Arial"/>
          <w:color w:val="2A2A2A"/>
          <w:lang w:eastAsia="en-ZA"/>
        </w:rPr>
        <w:t xml:space="preserve">s financial guarantees. </w:t>
      </w:r>
      <w:r w:rsidR="00FA1C1A">
        <w:rPr>
          <w:rFonts w:eastAsia="Times New Roman" w:cs="Arial"/>
          <w:color w:val="2A2A2A"/>
          <w:lang w:eastAsia="en-ZA"/>
        </w:rPr>
        <w:t>“</w:t>
      </w:r>
      <w:r w:rsidRPr="00E4567F">
        <w:rPr>
          <w:rFonts w:eastAsia="Times New Roman" w:cs="Arial"/>
          <w:color w:val="2A2A2A"/>
          <w:lang w:eastAsia="en-ZA"/>
        </w:rPr>
        <w:t>The value of contingent liabilities of R880 billion as at 31 March 20196 is likely to increase to R1.0 trillion by the end of fiscal 2021/22. However, the contribution of exposure to guarantees is expected to decline from 60% to 52% over the period, while that of other obligations is expected to increase.</w:t>
      </w:r>
    </w:p>
    <w:p w14:paraId="08CB8571" w14:textId="7F1DD524" w:rsidR="00E4567F" w:rsidRPr="00E4567F" w:rsidRDefault="00E4567F" w:rsidP="00E4567F">
      <w:pPr>
        <w:spacing w:before="120" w:after="120"/>
        <w:jc w:val="both"/>
        <w:rPr>
          <w:rFonts w:eastAsia="Times New Roman" w:cs="Arial"/>
          <w:lang w:eastAsia="en-ZA"/>
        </w:rPr>
      </w:pPr>
      <w:r w:rsidRPr="00E4567F">
        <w:rPr>
          <w:rFonts w:eastAsia="Times New Roman" w:cs="Arial"/>
          <w:color w:val="2A2A2A"/>
          <w:lang w:eastAsia="en-ZA"/>
        </w:rPr>
        <w:t>In fiscal 2018/19, SOCs accounted for most of the exposure to guarantees at 70%, followed by IPPs at 28%. Going forward, guarantees to SOCs are expected to level off and that of IPPs are expected to decrease in fiscal 2021/22</w:t>
      </w:r>
      <w:r w:rsidR="00FA1C1A">
        <w:rPr>
          <w:rFonts w:eastAsia="Times New Roman" w:cs="Arial"/>
          <w:color w:val="2A2A2A"/>
          <w:lang w:eastAsia="en-ZA"/>
        </w:rPr>
        <w:t>”</w:t>
      </w:r>
    </w:p>
    <w:p w14:paraId="02CAFE3F" w14:textId="77777777" w:rsidR="00E4567F" w:rsidRPr="00E4567F" w:rsidRDefault="00E4567F" w:rsidP="00E4567F">
      <w:pPr>
        <w:spacing w:before="120" w:after="120"/>
        <w:jc w:val="both"/>
        <w:rPr>
          <w:rFonts w:eastAsia="Times New Roman" w:cs="Arial"/>
          <w:lang w:eastAsia="en-ZA"/>
        </w:rPr>
      </w:pPr>
      <w:r w:rsidRPr="00E4567F">
        <w:rPr>
          <w:rFonts w:eastAsia="Times New Roman" w:cs="Arial"/>
          <w:noProof/>
          <w:lang w:eastAsia="en-ZA"/>
        </w:rPr>
        <w:lastRenderedPageBreak/>
        <w:drawing>
          <wp:inline distT="0" distB="0" distL="0" distR="0" wp14:anchorId="478804E4" wp14:editId="48308149">
            <wp:extent cx="4175760" cy="5989320"/>
            <wp:effectExtent l="0" t="0" r="0" b="0"/>
            <wp:docPr id="20" name="Picture 20" descr="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Picture"/>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4175760" cy="5989320"/>
                    </a:xfrm>
                    <a:prstGeom prst="rect">
                      <a:avLst/>
                    </a:prstGeom>
                    <a:noFill/>
                    <a:ln>
                      <a:noFill/>
                    </a:ln>
                  </pic:spPr>
                </pic:pic>
              </a:graphicData>
            </a:graphic>
          </wp:inline>
        </w:drawing>
      </w:r>
    </w:p>
    <w:p w14:paraId="40886139" w14:textId="77777777" w:rsidR="00E4567F" w:rsidRPr="00E4567F" w:rsidRDefault="00E4567F" w:rsidP="00E4567F">
      <w:pPr>
        <w:spacing w:before="120" w:after="120"/>
        <w:jc w:val="both"/>
        <w:rPr>
          <w:rFonts w:eastAsia="Times New Roman" w:cs="Arial"/>
          <w:lang w:eastAsia="en-ZA"/>
        </w:rPr>
      </w:pPr>
      <w:r w:rsidRPr="00E4567F">
        <w:rPr>
          <w:rFonts w:eastAsia="Times New Roman" w:cs="Arial"/>
          <w:lang w:eastAsia="en-ZA"/>
        </w:rPr>
        <w:t>Government financial guarantees</w:t>
      </w:r>
    </w:p>
    <w:p w14:paraId="4B06933D" w14:textId="5DEDE659" w:rsidR="00E4567F" w:rsidRPr="00E4567F" w:rsidRDefault="00E4567F" w:rsidP="00E4567F">
      <w:pPr>
        <w:spacing w:before="120" w:after="120"/>
        <w:jc w:val="both"/>
        <w:rPr>
          <w:rFonts w:eastAsia="Times New Roman" w:cs="Arial"/>
          <w:lang w:eastAsia="en-ZA"/>
        </w:rPr>
      </w:pPr>
      <w:r w:rsidRPr="00E4567F">
        <w:rPr>
          <w:rFonts w:eastAsia="Times New Roman" w:cs="Arial"/>
          <w:color w:val="2A2A2A"/>
          <w:lang w:eastAsia="en-ZA"/>
        </w:rPr>
        <w:t>The worry for us and it should be for the rest of South Africans is the fact that the government is exposed to so much financial risk and financial guarantees, and this largely due to poorly run State owned companies (SOC). And the fact that government doesn</w:t>
      </w:r>
      <w:r w:rsidR="00FA1C1A">
        <w:rPr>
          <w:rFonts w:eastAsia="Times New Roman" w:cs="Arial"/>
          <w:color w:val="2A2A2A"/>
          <w:lang w:eastAsia="en-ZA"/>
        </w:rPr>
        <w:t>’</w:t>
      </w:r>
      <w:r w:rsidRPr="00E4567F">
        <w:rPr>
          <w:rFonts w:eastAsia="Times New Roman" w:cs="Arial"/>
          <w:color w:val="2A2A2A"/>
          <w:lang w:eastAsia="en-ZA"/>
        </w:rPr>
        <w:t>t want to sell or privatize some of these SOC</w:t>
      </w:r>
      <w:r w:rsidR="00FA1C1A">
        <w:rPr>
          <w:rFonts w:eastAsia="Times New Roman" w:cs="Arial"/>
          <w:color w:val="2A2A2A"/>
          <w:lang w:eastAsia="en-ZA"/>
        </w:rPr>
        <w:t>’</w:t>
      </w:r>
      <w:r w:rsidRPr="00E4567F">
        <w:rPr>
          <w:rFonts w:eastAsia="Times New Roman" w:cs="Arial"/>
          <w:color w:val="2A2A2A"/>
          <w:lang w:eastAsia="en-ZA"/>
        </w:rPr>
        <w:t>s or even allow them to fail. All this means is that government keeps throwing tax money at poorly run, corrupt and financially broke enterprises in the hope of keeping these SOC doors open. But at what cost. At some point the South African government has to cut its losses and either sell these SOC</w:t>
      </w:r>
      <w:r w:rsidR="00FA1C1A">
        <w:rPr>
          <w:rFonts w:eastAsia="Times New Roman" w:cs="Arial"/>
          <w:color w:val="2A2A2A"/>
          <w:lang w:eastAsia="en-ZA"/>
        </w:rPr>
        <w:t>’</w:t>
      </w:r>
      <w:r w:rsidRPr="00E4567F">
        <w:rPr>
          <w:rFonts w:eastAsia="Times New Roman" w:cs="Arial"/>
          <w:color w:val="2A2A2A"/>
          <w:lang w:eastAsia="en-ZA"/>
        </w:rPr>
        <w:t>s or let them fail to reduce the financial burden on the state coffers. Currently these SOC</w:t>
      </w:r>
      <w:r w:rsidR="00FA1C1A">
        <w:rPr>
          <w:rFonts w:eastAsia="Times New Roman" w:cs="Arial"/>
          <w:color w:val="2A2A2A"/>
          <w:lang w:eastAsia="en-ZA"/>
        </w:rPr>
        <w:t>’</w:t>
      </w:r>
      <w:r w:rsidRPr="00E4567F">
        <w:rPr>
          <w:rFonts w:eastAsia="Times New Roman" w:cs="Arial"/>
          <w:color w:val="2A2A2A"/>
          <w:lang w:eastAsia="en-ZA"/>
        </w:rPr>
        <w:t>s are poorly run and continues to be poorly run as they know if they screw up government will just keep bailing them out with continued financial guarantees and cash injections</w:t>
      </w:r>
    </w:p>
    <w:p w14:paraId="564B593C" w14:textId="77777777" w:rsidR="00E4567F" w:rsidRPr="00E4567F" w:rsidRDefault="00E4567F" w:rsidP="00E4567F">
      <w:pPr>
        <w:spacing w:before="120" w:after="120"/>
        <w:jc w:val="both"/>
        <w:outlineLvl w:val="1"/>
        <w:rPr>
          <w:rFonts w:eastAsia="Times New Roman" w:cs="Arial"/>
          <w:b/>
          <w:bCs/>
          <w:lang w:eastAsia="en-ZA"/>
        </w:rPr>
      </w:pPr>
      <w:r w:rsidRPr="00E4567F">
        <w:rPr>
          <w:rFonts w:eastAsia="Times New Roman" w:cs="Arial"/>
          <w:b/>
          <w:bCs/>
          <w:lang w:eastAsia="en-ZA"/>
        </w:rPr>
        <w:t>22 June 2019: Spending by National government departments of South Africa in April 2019</w:t>
      </w:r>
    </w:p>
    <w:p w14:paraId="23AB36FA" w14:textId="77777777" w:rsidR="00E4567F" w:rsidRPr="00E4567F" w:rsidRDefault="00E4567F" w:rsidP="00E4567F">
      <w:pPr>
        <w:spacing w:before="120" w:after="120"/>
        <w:jc w:val="both"/>
        <w:rPr>
          <w:rFonts w:eastAsia="Times New Roman" w:cs="Arial"/>
          <w:lang w:eastAsia="en-ZA"/>
        </w:rPr>
      </w:pPr>
      <w:r w:rsidRPr="00E4567F">
        <w:rPr>
          <w:rFonts w:eastAsia="Times New Roman" w:cs="Arial"/>
          <w:color w:val="2A2A2A"/>
          <w:lang w:eastAsia="en-ZA"/>
        </w:rPr>
        <w:t>We take a look at the latest national government department spending numbers published by the National Treasury for April 2019 (the first month of the 2019/2020 financial year for the South Africa government). So which South African government department spends the most amount of money? The summary below shows the amount of money spent per national government department. Sorted from highest to lowest.</w:t>
      </w:r>
    </w:p>
    <w:p w14:paraId="7A68E909" w14:textId="77777777" w:rsidR="00E4567F" w:rsidRPr="00E4567F" w:rsidRDefault="00E4567F" w:rsidP="00E4567F">
      <w:pPr>
        <w:numPr>
          <w:ilvl w:val="0"/>
          <w:numId w:val="10"/>
        </w:numPr>
        <w:tabs>
          <w:tab w:val="clear" w:pos="720"/>
        </w:tabs>
        <w:spacing w:before="120" w:after="120"/>
        <w:ind w:left="397" w:hanging="284"/>
        <w:jc w:val="both"/>
        <w:rPr>
          <w:rFonts w:eastAsia="Times New Roman" w:cs="Arial"/>
          <w:lang w:eastAsia="en-ZA"/>
        </w:rPr>
      </w:pPr>
      <w:r w:rsidRPr="00E4567F">
        <w:rPr>
          <w:rFonts w:eastAsia="Times New Roman" w:cs="Arial"/>
          <w:color w:val="2A2A2A"/>
          <w:lang w:eastAsia="en-ZA"/>
        </w:rPr>
        <w:lastRenderedPageBreak/>
        <w:t>Social Development: R 14 014 459 000</w:t>
      </w:r>
    </w:p>
    <w:p w14:paraId="25C104C5" w14:textId="77777777" w:rsidR="00E4567F" w:rsidRPr="00E4567F" w:rsidRDefault="00E4567F" w:rsidP="00E4567F">
      <w:pPr>
        <w:numPr>
          <w:ilvl w:val="0"/>
          <w:numId w:val="10"/>
        </w:numPr>
        <w:tabs>
          <w:tab w:val="clear" w:pos="720"/>
        </w:tabs>
        <w:spacing w:before="120" w:after="120"/>
        <w:ind w:left="397" w:hanging="284"/>
        <w:jc w:val="both"/>
        <w:rPr>
          <w:rFonts w:eastAsia="Times New Roman" w:cs="Arial"/>
          <w:lang w:eastAsia="en-ZA"/>
        </w:rPr>
      </w:pPr>
      <w:r w:rsidRPr="00E4567F">
        <w:rPr>
          <w:rFonts w:eastAsia="Times New Roman" w:cs="Arial"/>
          <w:color w:val="2A2A2A"/>
          <w:lang w:eastAsia="en-ZA"/>
        </w:rPr>
        <w:t>Higher Education and Training: R 13 303 905 000</w:t>
      </w:r>
    </w:p>
    <w:p w14:paraId="78E0AED6" w14:textId="77777777" w:rsidR="00E4567F" w:rsidRPr="00E4567F" w:rsidRDefault="00E4567F" w:rsidP="00E4567F">
      <w:pPr>
        <w:numPr>
          <w:ilvl w:val="0"/>
          <w:numId w:val="10"/>
        </w:numPr>
        <w:tabs>
          <w:tab w:val="clear" w:pos="720"/>
        </w:tabs>
        <w:spacing w:before="120" w:after="120"/>
        <w:ind w:left="397" w:hanging="284"/>
        <w:jc w:val="both"/>
        <w:rPr>
          <w:rFonts w:eastAsia="Times New Roman" w:cs="Arial"/>
          <w:lang w:eastAsia="en-ZA"/>
        </w:rPr>
      </w:pPr>
      <w:r w:rsidRPr="00E4567F">
        <w:rPr>
          <w:rFonts w:eastAsia="Times New Roman" w:cs="Arial"/>
          <w:color w:val="2A2A2A"/>
          <w:lang w:eastAsia="en-ZA"/>
        </w:rPr>
        <w:t>Police: R 6 629 140 000</w:t>
      </w:r>
    </w:p>
    <w:p w14:paraId="5EA04D90" w14:textId="77777777" w:rsidR="00E4567F" w:rsidRPr="00E4567F" w:rsidRDefault="00E4567F" w:rsidP="00E4567F">
      <w:pPr>
        <w:numPr>
          <w:ilvl w:val="0"/>
          <w:numId w:val="10"/>
        </w:numPr>
        <w:tabs>
          <w:tab w:val="clear" w:pos="720"/>
        </w:tabs>
        <w:spacing w:before="120" w:after="120"/>
        <w:ind w:left="397" w:hanging="284"/>
        <w:jc w:val="both"/>
        <w:rPr>
          <w:rFonts w:eastAsia="Times New Roman" w:cs="Arial"/>
          <w:lang w:eastAsia="en-ZA"/>
        </w:rPr>
      </w:pPr>
      <w:r w:rsidRPr="00E4567F">
        <w:rPr>
          <w:rFonts w:eastAsia="Times New Roman" w:cs="Arial"/>
          <w:color w:val="2A2A2A"/>
          <w:lang w:eastAsia="en-ZA"/>
        </w:rPr>
        <w:t>Transport: R 6 484 313 000</w:t>
      </w:r>
    </w:p>
    <w:p w14:paraId="46CC7709" w14:textId="77777777" w:rsidR="00E4567F" w:rsidRPr="00E4567F" w:rsidRDefault="00E4567F" w:rsidP="00E4567F">
      <w:pPr>
        <w:numPr>
          <w:ilvl w:val="0"/>
          <w:numId w:val="10"/>
        </w:numPr>
        <w:tabs>
          <w:tab w:val="clear" w:pos="720"/>
        </w:tabs>
        <w:spacing w:before="120" w:after="120"/>
        <w:ind w:left="397" w:hanging="284"/>
        <w:jc w:val="both"/>
        <w:rPr>
          <w:rFonts w:eastAsia="Times New Roman" w:cs="Arial"/>
          <w:lang w:eastAsia="en-ZA"/>
        </w:rPr>
      </w:pPr>
      <w:r w:rsidRPr="00E4567F">
        <w:rPr>
          <w:rFonts w:eastAsia="Times New Roman" w:cs="Arial"/>
          <w:color w:val="2A2A2A"/>
          <w:lang w:eastAsia="en-ZA"/>
        </w:rPr>
        <w:t>Health: R 5 065 781 000</w:t>
      </w:r>
    </w:p>
    <w:p w14:paraId="2CFF796D" w14:textId="77777777" w:rsidR="00E4567F" w:rsidRPr="00E4567F" w:rsidRDefault="00E4567F" w:rsidP="00E4567F">
      <w:pPr>
        <w:numPr>
          <w:ilvl w:val="0"/>
          <w:numId w:val="10"/>
        </w:numPr>
        <w:tabs>
          <w:tab w:val="clear" w:pos="720"/>
        </w:tabs>
        <w:spacing w:before="120" w:after="120"/>
        <w:ind w:left="397" w:hanging="284"/>
        <w:jc w:val="both"/>
        <w:rPr>
          <w:rFonts w:eastAsia="Times New Roman" w:cs="Arial"/>
          <w:lang w:eastAsia="en-ZA"/>
        </w:rPr>
      </w:pPr>
      <w:r w:rsidRPr="00E4567F">
        <w:rPr>
          <w:rFonts w:eastAsia="Times New Roman" w:cs="Arial"/>
          <w:color w:val="2A2A2A"/>
          <w:lang w:eastAsia="en-ZA"/>
        </w:rPr>
        <w:t>Basic Education: R 4 118 483 000</w:t>
      </w:r>
    </w:p>
    <w:p w14:paraId="5FE20650" w14:textId="77777777" w:rsidR="00E4567F" w:rsidRPr="00E4567F" w:rsidRDefault="00E4567F" w:rsidP="00E4567F">
      <w:pPr>
        <w:numPr>
          <w:ilvl w:val="0"/>
          <w:numId w:val="10"/>
        </w:numPr>
        <w:tabs>
          <w:tab w:val="clear" w:pos="720"/>
        </w:tabs>
        <w:spacing w:before="120" w:after="120"/>
        <w:ind w:left="397" w:hanging="284"/>
        <w:jc w:val="both"/>
        <w:rPr>
          <w:rFonts w:eastAsia="Times New Roman" w:cs="Arial"/>
          <w:lang w:eastAsia="en-ZA"/>
        </w:rPr>
      </w:pPr>
      <w:r w:rsidRPr="00E4567F">
        <w:rPr>
          <w:rFonts w:eastAsia="Times New Roman" w:cs="Arial"/>
          <w:color w:val="2A2A2A"/>
          <w:lang w:eastAsia="en-ZA"/>
        </w:rPr>
        <w:t>Defence and Military Veterans: R 3 185 043 000</w:t>
      </w:r>
    </w:p>
    <w:p w14:paraId="7D192258" w14:textId="77777777" w:rsidR="00E4567F" w:rsidRPr="00E4567F" w:rsidRDefault="00E4567F" w:rsidP="00E4567F">
      <w:pPr>
        <w:numPr>
          <w:ilvl w:val="0"/>
          <w:numId w:val="10"/>
        </w:numPr>
        <w:tabs>
          <w:tab w:val="clear" w:pos="720"/>
        </w:tabs>
        <w:spacing w:before="120" w:after="120"/>
        <w:ind w:left="397" w:hanging="284"/>
        <w:jc w:val="both"/>
        <w:rPr>
          <w:rFonts w:eastAsia="Times New Roman" w:cs="Arial"/>
          <w:lang w:eastAsia="en-ZA"/>
        </w:rPr>
      </w:pPr>
      <w:r w:rsidRPr="00E4567F">
        <w:rPr>
          <w:rFonts w:eastAsia="Times New Roman" w:cs="Arial"/>
          <w:color w:val="2A2A2A"/>
          <w:lang w:eastAsia="en-ZA"/>
        </w:rPr>
        <w:t>National Treasury : R 1 697 992 000</w:t>
      </w:r>
    </w:p>
    <w:p w14:paraId="484790C4" w14:textId="77777777" w:rsidR="00E4567F" w:rsidRPr="00E4567F" w:rsidRDefault="00E4567F" w:rsidP="00E4567F">
      <w:pPr>
        <w:numPr>
          <w:ilvl w:val="0"/>
          <w:numId w:val="10"/>
        </w:numPr>
        <w:tabs>
          <w:tab w:val="clear" w:pos="720"/>
        </w:tabs>
        <w:spacing w:before="120" w:after="120"/>
        <w:ind w:left="397" w:hanging="284"/>
        <w:jc w:val="both"/>
        <w:rPr>
          <w:rFonts w:eastAsia="Times New Roman" w:cs="Arial"/>
          <w:lang w:eastAsia="en-ZA"/>
        </w:rPr>
      </w:pPr>
      <w:r w:rsidRPr="00E4567F">
        <w:rPr>
          <w:rFonts w:eastAsia="Times New Roman" w:cs="Arial"/>
          <w:color w:val="2A2A2A"/>
          <w:lang w:eastAsia="en-ZA"/>
        </w:rPr>
        <w:t>Public Works: R 1 636 926 000</w:t>
      </w:r>
    </w:p>
    <w:p w14:paraId="7C898059" w14:textId="77777777" w:rsidR="00E4567F" w:rsidRPr="00E4567F" w:rsidRDefault="00E4567F" w:rsidP="00E4567F">
      <w:pPr>
        <w:numPr>
          <w:ilvl w:val="0"/>
          <w:numId w:val="10"/>
        </w:numPr>
        <w:tabs>
          <w:tab w:val="clear" w:pos="720"/>
        </w:tabs>
        <w:spacing w:before="120" w:after="120"/>
        <w:ind w:left="397" w:hanging="284"/>
        <w:jc w:val="both"/>
        <w:rPr>
          <w:rFonts w:eastAsia="Times New Roman" w:cs="Arial"/>
          <w:lang w:eastAsia="en-ZA"/>
        </w:rPr>
      </w:pPr>
      <w:r w:rsidRPr="00E4567F">
        <w:rPr>
          <w:rFonts w:eastAsia="Times New Roman" w:cs="Arial"/>
          <w:color w:val="2A2A2A"/>
          <w:lang w:eastAsia="en-ZA"/>
        </w:rPr>
        <w:t>Correctional Services: R 1 440 640 000</w:t>
      </w:r>
    </w:p>
    <w:p w14:paraId="420DCBAC" w14:textId="77777777" w:rsidR="00E4567F" w:rsidRPr="00E4567F" w:rsidRDefault="00E4567F" w:rsidP="00E4567F">
      <w:pPr>
        <w:numPr>
          <w:ilvl w:val="0"/>
          <w:numId w:val="10"/>
        </w:numPr>
        <w:tabs>
          <w:tab w:val="clear" w:pos="720"/>
        </w:tabs>
        <w:spacing w:before="120" w:after="120"/>
        <w:ind w:left="397" w:hanging="284"/>
        <w:jc w:val="both"/>
        <w:rPr>
          <w:rFonts w:eastAsia="Times New Roman" w:cs="Arial"/>
          <w:lang w:eastAsia="en-ZA"/>
        </w:rPr>
      </w:pPr>
      <w:r w:rsidRPr="00E4567F">
        <w:rPr>
          <w:rFonts w:eastAsia="Times New Roman" w:cs="Arial"/>
          <w:color w:val="2A2A2A"/>
          <w:lang w:eastAsia="en-ZA"/>
        </w:rPr>
        <w:t>Water and Sanitation: R 1 343 727 000</w:t>
      </w:r>
    </w:p>
    <w:p w14:paraId="264B4A58" w14:textId="77777777" w:rsidR="00E4567F" w:rsidRPr="00E4567F" w:rsidRDefault="00E4567F" w:rsidP="00E4567F">
      <w:pPr>
        <w:numPr>
          <w:ilvl w:val="0"/>
          <w:numId w:val="10"/>
        </w:numPr>
        <w:tabs>
          <w:tab w:val="clear" w:pos="720"/>
        </w:tabs>
        <w:spacing w:before="120" w:after="120"/>
        <w:ind w:left="397" w:hanging="284"/>
        <w:jc w:val="both"/>
        <w:rPr>
          <w:rFonts w:eastAsia="Times New Roman" w:cs="Arial"/>
          <w:lang w:eastAsia="en-ZA"/>
        </w:rPr>
      </w:pPr>
      <w:r w:rsidRPr="00E4567F">
        <w:rPr>
          <w:rFonts w:eastAsia="Times New Roman" w:cs="Arial"/>
          <w:color w:val="2A2A2A"/>
          <w:lang w:eastAsia="en-ZA"/>
        </w:rPr>
        <w:t>Justice and Constitutional Development: R 1 127 160 000</w:t>
      </w:r>
    </w:p>
    <w:p w14:paraId="316FE909" w14:textId="77777777" w:rsidR="00E4567F" w:rsidRPr="00E4567F" w:rsidRDefault="00E4567F" w:rsidP="00E4567F">
      <w:pPr>
        <w:numPr>
          <w:ilvl w:val="0"/>
          <w:numId w:val="10"/>
        </w:numPr>
        <w:tabs>
          <w:tab w:val="clear" w:pos="720"/>
        </w:tabs>
        <w:spacing w:before="120" w:after="120"/>
        <w:ind w:left="397" w:hanging="284"/>
        <w:jc w:val="both"/>
        <w:rPr>
          <w:rFonts w:eastAsia="Times New Roman" w:cs="Arial"/>
          <w:lang w:eastAsia="en-ZA"/>
        </w:rPr>
      </w:pPr>
      <w:r w:rsidRPr="00E4567F">
        <w:rPr>
          <w:rFonts w:eastAsia="Times New Roman" w:cs="Arial"/>
          <w:color w:val="2A2A2A"/>
          <w:lang w:eastAsia="en-ZA"/>
        </w:rPr>
        <w:t>Human Settlements: R 1 061 095 000</w:t>
      </w:r>
    </w:p>
    <w:p w14:paraId="2D4BDAA8" w14:textId="77777777" w:rsidR="00E4567F" w:rsidRPr="00E4567F" w:rsidRDefault="00E4567F" w:rsidP="00E4567F">
      <w:pPr>
        <w:numPr>
          <w:ilvl w:val="0"/>
          <w:numId w:val="10"/>
        </w:numPr>
        <w:tabs>
          <w:tab w:val="clear" w:pos="720"/>
        </w:tabs>
        <w:spacing w:before="120" w:after="120"/>
        <w:ind w:left="397" w:hanging="284"/>
        <w:jc w:val="both"/>
        <w:rPr>
          <w:rFonts w:eastAsia="Times New Roman" w:cs="Arial"/>
          <w:lang w:eastAsia="en-ZA"/>
        </w:rPr>
      </w:pPr>
      <w:r w:rsidRPr="00E4567F">
        <w:rPr>
          <w:rFonts w:eastAsia="Times New Roman" w:cs="Arial"/>
          <w:color w:val="2A2A2A"/>
          <w:lang w:eastAsia="en-ZA"/>
        </w:rPr>
        <w:t>Tourism: R 1 006 213 000</w:t>
      </w:r>
    </w:p>
    <w:p w14:paraId="52103772" w14:textId="77777777" w:rsidR="00E4567F" w:rsidRPr="00E4567F" w:rsidRDefault="00E4567F" w:rsidP="00E4567F">
      <w:pPr>
        <w:numPr>
          <w:ilvl w:val="0"/>
          <w:numId w:val="10"/>
        </w:numPr>
        <w:tabs>
          <w:tab w:val="clear" w:pos="720"/>
        </w:tabs>
        <w:spacing w:before="120" w:after="120"/>
        <w:ind w:left="397" w:hanging="284"/>
        <w:jc w:val="both"/>
        <w:rPr>
          <w:rFonts w:eastAsia="Times New Roman" w:cs="Arial"/>
          <w:lang w:eastAsia="en-ZA"/>
        </w:rPr>
      </w:pPr>
      <w:r w:rsidRPr="00E4567F">
        <w:rPr>
          <w:rFonts w:eastAsia="Times New Roman" w:cs="Arial"/>
          <w:color w:val="2A2A2A"/>
          <w:lang w:eastAsia="en-ZA"/>
        </w:rPr>
        <w:t>Science and Technology: R 810 028 000</w:t>
      </w:r>
    </w:p>
    <w:p w14:paraId="532BF724" w14:textId="77777777" w:rsidR="00E4567F" w:rsidRPr="00E4567F" w:rsidRDefault="00E4567F" w:rsidP="00E4567F">
      <w:pPr>
        <w:numPr>
          <w:ilvl w:val="0"/>
          <w:numId w:val="10"/>
        </w:numPr>
        <w:tabs>
          <w:tab w:val="clear" w:pos="720"/>
        </w:tabs>
        <w:spacing w:before="120" w:after="120"/>
        <w:ind w:left="397" w:hanging="284"/>
        <w:jc w:val="both"/>
        <w:rPr>
          <w:rFonts w:eastAsia="Times New Roman" w:cs="Arial"/>
          <w:lang w:eastAsia="en-ZA"/>
        </w:rPr>
      </w:pPr>
      <w:r w:rsidRPr="00E4567F">
        <w:rPr>
          <w:rFonts w:eastAsia="Times New Roman" w:cs="Arial"/>
          <w:color w:val="2A2A2A"/>
          <w:lang w:eastAsia="en-ZA"/>
        </w:rPr>
        <w:t>Home Affairs: R 744 298 000</w:t>
      </w:r>
    </w:p>
    <w:p w14:paraId="58B4FB0A" w14:textId="77777777" w:rsidR="00E4567F" w:rsidRPr="00E4567F" w:rsidRDefault="00E4567F" w:rsidP="00E4567F">
      <w:pPr>
        <w:numPr>
          <w:ilvl w:val="0"/>
          <w:numId w:val="10"/>
        </w:numPr>
        <w:tabs>
          <w:tab w:val="clear" w:pos="720"/>
        </w:tabs>
        <w:spacing w:before="120" w:after="120"/>
        <w:ind w:left="397" w:hanging="284"/>
        <w:jc w:val="both"/>
        <w:rPr>
          <w:rFonts w:eastAsia="Times New Roman" w:cs="Arial"/>
          <w:lang w:eastAsia="en-ZA"/>
        </w:rPr>
      </w:pPr>
      <w:r w:rsidRPr="00E4567F">
        <w:rPr>
          <w:rFonts w:eastAsia="Times New Roman" w:cs="Arial"/>
          <w:color w:val="2A2A2A"/>
          <w:lang w:eastAsia="en-ZA"/>
        </w:rPr>
        <w:t>Agriculture, Forestry and Fisheries: R 647 186 000</w:t>
      </w:r>
    </w:p>
    <w:p w14:paraId="320F9C1B" w14:textId="77777777" w:rsidR="00E4567F" w:rsidRPr="00E4567F" w:rsidRDefault="00E4567F" w:rsidP="00E4567F">
      <w:pPr>
        <w:numPr>
          <w:ilvl w:val="0"/>
          <w:numId w:val="10"/>
        </w:numPr>
        <w:tabs>
          <w:tab w:val="clear" w:pos="720"/>
        </w:tabs>
        <w:spacing w:before="120" w:after="120"/>
        <w:ind w:left="397" w:hanging="284"/>
        <w:jc w:val="both"/>
        <w:rPr>
          <w:rFonts w:eastAsia="Times New Roman" w:cs="Arial"/>
          <w:lang w:eastAsia="en-ZA"/>
        </w:rPr>
      </w:pPr>
      <w:r w:rsidRPr="00E4567F">
        <w:rPr>
          <w:rFonts w:eastAsia="Times New Roman" w:cs="Arial"/>
          <w:color w:val="2A2A2A"/>
          <w:lang w:eastAsia="en-ZA"/>
        </w:rPr>
        <w:t>Trade and Industry: R 561 137 000</w:t>
      </w:r>
    </w:p>
    <w:p w14:paraId="1BE479BF" w14:textId="77777777" w:rsidR="00E4567F" w:rsidRPr="00E4567F" w:rsidRDefault="00E4567F" w:rsidP="00E4567F">
      <w:pPr>
        <w:numPr>
          <w:ilvl w:val="0"/>
          <w:numId w:val="10"/>
        </w:numPr>
        <w:tabs>
          <w:tab w:val="clear" w:pos="720"/>
        </w:tabs>
        <w:spacing w:before="120" w:after="120"/>
        <w:ind w:left="397" w:hanging="284"/>
        <w:jc w:val="both"/>
        <w:rPr>
          <w:rFonts w:eastAsia="Times New Roman" w:cs="Arial"/>
          <w:lang w:eastAsia="en-ZA"/>
        </w:rPr>
      </w:pPr>
      <w:r w:rsidRPr="00E4567F">
        <w:rPr>
          <w:rFonts w:eastAsia="Times New Roman" w:cs="Arial"/>
          <w:color w:val="2A2A2A"/>
          <w:lang w:eastAsia="en-ZA"/>
        </w:rPr>
        <w:t>Arts and Culture: R 542 034 000</w:t>
      </w:r>
    </w:p>
    <w:p w14:paraId="271F683C" w14:textId="77777777" w:rsidR="00E4567F" w:rsidRPr="00E4567F" w:rsidRDefault="00E4567F" w:rsidP="00E4567F">
      <w:pPr>
        <w:numPr>
          <w:ilvl w:val="0"/>
          <w:numId w:val="10"/>
        </w:numPr>
        <w:tabs>
          <w:tab w:val="clear" w:pos="720"/>
        </w:tabs>
        <w:spacing w:before="120" w:after="120"/>
        <w:ind w:left="397" w:hanging="284"/>
        <w:jc w:val="both"/>
        <w:rPr>
          <w:rFonts w:eastAsia="Times New Roman" w:cs="Arial"/>
          <w:lang w:eastAsia="en-ZA"/>
        </w:rPr>
      </w:pPr>
      <w:r w:rsidRPr="00E4567F">
        <w:rPr>
          <w:rFonts w:eastAsia="Times New Roman" w:cs="Arial"/>
          <w:color w:val="2A2A2A"/>
          <w:lang w:eastAsia="en-ZA"/>
        </w:rPr>
        <w:t>Environmental Affairs: R 475 128 000</w:t>
      </w:r>
    </w:p>
    <w:p w14:paraId="7AEE8316" w14:textId="77777777" w:rsidR="00E4567F" w:rsidRPr="00E4567F" w:rsidRDefault="00E4567F" w:rsidP="00E4567F">
      <w:pPr>
        <w:numPr>
          <w:ilvl w:val="0"/>
          <w:numId w:val="10"/>
        </w:numPr>
        <w:tabs>
          <w:tab w:val="clear" w:pos="720"/>
        </w:tabs>
        <w:spacing w:before="120" w:after="120"/>
        <w:ind w:left="397" w:hanging="284"/>
        <w:jc w:val="both"/>
        <w:rPr>
          <w:rFonts w:eastAsia="Times New Roman" w:cs="Arial"/>
          <w:lang w:eastAsia="en-ZA"/>
        </w:rPr>
      </w:pPr>
      <w:r w:rsidRPr="00E4567F">
        <w:rPr>
          <w:rFonts w:eastAsia="Times New Roman" w:cs="Arial"/>
          <w:color w:val="2A2A2A"/>
          <w:lang w:eastAsia="en-ZA"/>
        </w:rPr>
        <w:t>Energy: R 433 087 000</w:t>
      </w:r>
    </w:p>
    <w:p w14:paraId="2B27D329" w14:textId="77777777" w:rsidR="00E4567F" w:rsidRPr="00E4567F" w:rsidRDefault="00E4567F" w:rsidP="00E4567F">
      <w:pPr>
        <w:numPr>
          <w:ilvl w:val="0"/>
          <w:numId w:val="10"/>
        </w:numPr>
        <w:tabs>
          <w:tab w:val="clear" w:pos="720"/>
        </w:tabs>
        <w:spacing w:before="120" w:after="120"/>
        <w:ind w:left="397" w:hanging="284"/>
        <w:jc w:val="both"/>
        <w:rPr>
          <w:rFonts w:eastAsia="Times New Roman" w:cs="Arial"/>
          <w:lang w:eastAsia="en-ZA"/>
        </w:rPr>
      </w:pPr>
      <w:r w:rsidRPr="00E4567F">
        <w:rPr>
          <w:rFonts w:eastAsia="Times New Roman" w:cs="Arial"/>
          <w:color w:val="2A2A2A"/>
          <w:lang w:eastAsia="en-ZA"/>
        </w:rPr>
        <w:t>International Relations and Cooperation: R 390 929 000</w:t>
      </w:r>
    </w:p>
    <w:p w14:paraId="31DCA296" w14:textId="77777777" w:rsidR="00E4567F" w:rsidRPr="00E4567F" w:rsidRDefault="00E4567F" w:rsidP="00E4567F">
      <w:pPr>
        <w:numPr>
          <w:ilvl w:val="0"/>
          <w:numId w:val="10"/>
        </w:numPr>
        <w:tabs>
          <w:tab w:val="clear" w:pos="720"/>
        </w:tabs>
        <w:spacing w:before="120" w:after="120"/>
        <w:ind w:left="397" w:hanging="284"/>
        <w:jc w:val="both"/>
        <w:rPr>
          <w:rFonts w:eastAsia="Times New Roman" w:cs="Arial"/>
          <w:lang w:eastAsia="en-ZA"/>
        </w:rPr>
      </w:pPr>
      <w:r w:rsidRPr="00E4567F">
        <w:rPr>
          <w:rFonts w:eastAsia="Times New Roman" w:cs="Arial"/>
          <w:color w:val="2A2A2A"/>
          <w:lang w:eastAsia="en-ZA"/>
        </w:rPr>
        <w:t>Rural Development and Land Reform: R 322 550 000</w:t>
      </w:r>
    </w:p>
    <w:p w14:paraId="78563466" w14:textId="77777777" w:rsidR="00E4567F" w:rsidRPr="00E4567F" w:rsidRDefault="00E4567F" w:rsidP="00E4567F">
      <w:pPr>
        <w:numPr>
          <w:ilvl w:val="0"/>
          <w:numId w:val="10"/>
        </w:numPr>
        <w:tabs>
          <w:tab w:val="clear" w:pos="720"/>
        </w:tabs>
        <w:spacing w:before="120" w:after="120"/>
        <w:ind w:left="397" w:hanging="284"/>
        <w:jc w:val="both"/>
        <w:rPr>
          <w:rFonts w:eastAsia="Times New Roman" w:cs="Arial"/>
          <w:lang w:eastAsia="en-ZA"/>
        </w:rPr>
      </w:pPr>
      <w:r w:rsidRPr="00E4567F">
        <w:rPr>
          <w:rFonts w:eastAsia="Times New Roman" w:cs="Arial"/>
          <w:color w:val="2A2A2A"/>
          <w:lang w:eastAsia="en-ZA"/>
        </w:rPr>
        <w:t>Cooperative Governance and Traditional Affairs: R 288 007 000</w:t>
      </w:r>
    </w:p>
    <w:p w14:paraId="1E251A14" w14:textId="77777777" w:rsidR="00E4567F" w:rsidRPr="00E4567F" w:rsidRDefault="00E4567F" w:rsidP="00E4567F">
      <w:pPr>
        <w:numPr>
          <w:ilvl w:val="0"/>
          <w:numId w:val="10"/>
        </w:numPr>
        <w:tabs>
          <w:tab w:val="clear" w:pos="720"/>
        </w:tabs>
        <w:spacing w:before="120" w:after="120"/>
        <w:ind w:left="397" w:hanging="284"/>
        <w:jc w:val="both"/>
        <w:rPr>
          <w:rFonts w:eastAsia="Times New Roman" w:cs="Arial"/>
          <w:lang w:eastAsia="en-ZA"/>
        </w:rPr>
      </w:pPr>
      <w:r w:rsidRPr="00E4567F">
        <w:rPr>
          <w:rFonts w:eastAsia="Times New Roman" w:cs="Arial"/>
          <w:color w:val="2A2A2A"/>
          <w:lang w:eastAsia="en-ZA"/>
        </w:rPr>
        <w:t>Parliament: R 228 912 000</w:t>
      </w:r>
    </w:p>
    <w:p w14:paraId="10662FD5" w14:textId="77777777" w:rsidR="00E4567F" w:rsidRPr="00E4567F" w:rsidRDefault="00E4567F" w:rsidP="00E4567F">
      <w:pPr>
        <w:numPr>
          <w:ilvl w:val="0"/>
          <w:numId w:val="10"/>
        </w:numPr>
        <w:tabs>
          <w:tab w:val="clear" w:pos="720"/>
        </w:tabs>
        <w:spacing w:before="120" w:after="120"/>
        <w:ind w:left="397" w:hanging="284"/>
        <w:jc w:val="both"/>
        <w:rPr>
          <w:rFonts w:eastAsia="Times New Roman" w:cs="Arial"/>
          <w:lang w:eastAsia="en-ZA"/>
        </w:rPr>
      </w:pPr>
      <w:r w:rsidRPr="00E4567F">
        <w:rPr>
          <w:rFonts w:eastAsia="Times New Roman" w:cs="Arial"/>
          <w:color w:val="2A2A2A"/>
          <w:lang w:eastAsia="en-ZA"/>
        </w:rPr>
        <w:t>Economic Development: R 153 014 000</w:t>
      </w:r>
    </w:p>
    <w:p w14:paraId="3B45CB8E" w14:textId="77777777" w:rsidR="00E4567F" w:rsidRPr="00E4567F" w:rsidRDefault="00E4567F" w:rsidP="00E4567F">
      <w:pPr>
        <w:numPr>
          <w:ilvl w:val="0"/>
          <w:numId w:val="10"/>
        </w:numPr>
        <w:tabs>
          <w:tab w:val="clear" w:pos="720"/>
        </w:tabs>
        <w:spacing w:before="120" w:after="120"/>
        <w:ind w:left="397" w:hanging="284"/>
        <w:jc w:val="both"/>
        <w:rPr>
          <w:rFonts w:eastAsia="Times New Roman" w:cs="Arial"/>
          <w:lang w:eastAsia="en-ZA"/>
        </w:rPr>
      </w:pPr>
      <w:r w:rsidRPr="00E4567F">
        <w:rPr>
          <w:rFonts w:eastAsia="Times New Roman" w:cs="Arial"/>
          <w:color w:val="2A2A2A"/>
          <w:lang w:eastAsia="en-ZA"/>
        </w:rPr>
        <w:t>Statistics South Africa: R 148 240 000</w:t>
      </w:r>
    </w:p>
    <w:p w14:paraId="7F9EE3DE" w14:textId="77777777" w:rsidR="00E4567F" w:rsidRPr="00E4567F" w:rsidRDefault="00E4567F" w:rsidP="00E4567F">
      <w:pPr>
        <w:numPr>
          <w:ilvl w:val="0"/>
          <w:numId w:val="10"/>
        </w:numPr>
        <w:tabs>
          <w:tab w:val="clear" w:pos="720"/>
        </w:tabs>
        <w:spacing w:before="120" w:after="120"/>
        <w:ind w:left="397" w:hanging="284"/>
        <w:jc w:val="both"/>
        <w:rPr>
          <w:rFonts w:eastAsia="Times New Roman" w:cs="Arial"/>
          <w:lang w:eastAsia="en-ZA"/>
        </w:rPr>
      </w:pPr>
      <w:r w:rsidRPr="00E4567F">
        <w:rPr>
          <w:rFonts w:eastAsia="Times New Roman" w:cs="Arial"/>
          <w:color w:val="2A2A2A"/>
          <w:lang w:eastAsia="en-ZA"/>
        </w:rPr>
        <w:t>Mineral Resources: R  147 833 000</w:t>
      </w:r>
    </w:p>
    <w:p w14:paraId="0D98C153" w14:textId="77777777" w:rsidR="00E4567F" w:rsidRPr="00E4567F" w:rsidRDefault="00E4567F" w:rsidP="00E4567F">
      <w:pPr>
        <w:numPr>
          <w:ilvl w:val="0"/>
          <w:numId w:val="10"/>
        </w:numPr>
        <w:tabs>
          <w:tab w:val="clear" w:pos="720"/>
        </w:tabs>
        <w:spacing w:before="120" w:after="120"/>
        <w:ind w:left="397" w:hanging="284"/>
        <w:jc w:val="both"/>
        <w:rPr>
          <w:rFonts w:eastAsia="Times New Roman" w:cs="Arial"/>
          <w:lang w:eastAsia="en-ZA"/>
        </w:rPr>
      </w:pPr>
      <w:r w:rsidRPr="00E4567F">
        <w:rPr>
          <w:rFonts w:eastAsia="Times New Roman" w:cs="Arial"/>
          <w:color w:val="2A2A2A"/>
          <w:lang w:eastAsia="en-ZA"/>
        </w:rPr>
        <w:t>Labour: R 140 791 000</w:t>
      </w:r>
    </w:p>
    <w:p w14:paraId="383D426D" w14:textId="77777777" w:rsidR="00E4567F" w:rsidRPr="00E4567F" w:rsidRDefault="00E4567F" w:rsidP="00E4567F">
      <w:pPr>
        <w:numPr>
          <w:ilvl w:val="0"/>
          <w:numId w:val="10"/>
        </w:numPr>
        <w:tabs>
          <w:tab w:val="clear" w:pos="720"/>
        </w:tabs>
        <w:spacing w:before="120" w:after="120"/>
        <w:ind w:left="397" w:hanging="284"/>
        <w:jc w:val="both"/>
        <w:rPr>
          <w:rFonts w:eastAsia="Times New Roman" w:cs="Arial"/>
          <w:lang w:eastAsia="en-ZA"/>
        </w:rPr>
      </w:pPr>
      <w:r w:rsidRPr="00E4567F">
        <w:rPr>
          <w:rFonts w:eastAsia="Times New Roman" w:cs="Arial"/>
          <w:color w:val="2A2A2A"/>
          <w:lang w:eastAsia="en-ZA"/>
        </w:rPr>
        <w:t>Communications: R 134 518 000</w:t>
      </w:r>
    </w:p>
    <w:p w14:paraId="212A2F0F" w14:textId="77777777" w:rsidR="00E4567F" w:rsidRPr="00E4567F" w:rsidRDefault="00E4567F" w:rsidP="00E4567F">
      <w:pPr>
        <w:numPr>
          <w:ilvl w:val="0"/>
          <w:numId w:val="10"/>
        </w:numPr>
        <w:tabs>
          <w:tab w:val="clear" w:pos="720"/>
        </w:tabs>
        <w:spacing w:before="120" w:after="120"/>
        <w:ind w:left="397" w:hanging="284"/>
        <w:jc w:val="both"/>
        <w:rPr>
          <w:rFonts w:eastAsia="Times New Roman" w:cs="Arial"/>
          <w:lang w:eastAsia="en-ZA"/>
        </w:rPr>
      </w:pPr>
      <w:r w:rsidRPr="00E4567F">
        <w:rPr>
          <w:rFonts w:eastAsia="Times New Roman" w:cs="Arial"/>
          <w:color w:val="2A2A2A"/>
          <w:lang w:eastAsia="en-ZA"/>
        </w:rPr>
        <w:t>Telecommunications and Postal Services: R 90 410 000</w:t>
      </w:r>
    </w:p>
    <w:p w14:paraId="6A5C15A8" w14:textId="77777777" w:rsidR="00E4567F" w:rsidRPr="00E4567F" w:rsidRDefault="00E4567F" w:rsidP="00E4567F">
      <w:pPr>
        <w:numPr>
          <w:ilvl w:val="0"/>
          <w:numId w:val="10"/>
        </w:numPr>
        <w:tabs>
          <w:tab w:val="clear" w:pos="720"/>
        </w:tabs>
        <w:spacing w:before="120" w:after="120"/>
        <w:ind w:left="397" w:hanging="284"/>
        <w:jc w:val="both"/>
        <w:rPr>
          <w:rFonts w:eastAsia="Times New Roman" w:cs="Arial"/>
          <w:lang w:eastAsia="en-ZA"/>
        </w:rPr>
      </w:pPr>
      <w:r w:rsidRPr="00E4567F">
        <w:rPr>
          <w:rFonts w:eastAsia="Times New Roman" w:cs="Arial"/>
          <w:color w:val="2A2A2A"/>
          <w:lang w:eastAsia="en-ZA"/>
        </w:rPr>
        <w:t>Public Service and Administration: R 62 275 000</w:t>
      </w:r>
    </w:p>
    <w:p w14:paraId="69B7CB9C" w14:textId="77777777" w:rsidR="00E4567F" w:rsidRPr="00E4567F" w:rsidRDefault="00E4567F" w:rsidP="00E4567F">
      <w:pPr>
        <w:numPr>
          <w:ilvl w:val="0"/>
          <w:numId w:val="10"/>
        </w:numPr>
        <w:tabs>
          <w:tab w:val="clear" w:pos="720"/>
        </w:tabs>
        <w:spacing w:before="120" w:after="120"/>
        <w:ind w:left="397" w:hanging="284"/>
        <w:jc w:val="both"/>
        <w:rPr>
          <w:rFonts w:eastAsia="Times New Roman" w:cs="Arial"/>
          <w:lang w:eastAsia="en-ZA"/>
        </w:rPr>
      </w:pPr>
      <w:r w:rsidRPr="00E4567F">
        <w:rPr>
          <w:rFonts w:eastAsia="Times New Roman" w:cs="Arial"/>
          <w:color w:val="2A2A2A"/>
          <w:lang w:eastAsia="en-ZA"/>
        </w:rPr>
        <w:t>Office of the Chief Justice and Judicial Administration: R 60 835 000</w:t>
      </w:r>
    </w:p>
    <w:p w14:paraId="4B0B09FF" w14:textId="77777777" w:rsidR="00E4567F" w:rsidRPr="00E4567F" w:rsidRDefault="00E4567F" w:rsidP="00E4567F">
      <w:pPr>
        <w:numPr>
          <w:ilvl w:val="0"/>
          <w:numId w:val="10"/>
        </w:numPr>
        <w:tabs>
          <w:tab w:val="clear" w:pos="720"/>
        </w:tabs>
        <w:spacing w:before="120" w:after="120"/>
        <w:ind w:left="397" w:hanging="284"/>
        <w:jc w:val="both"/>
        <w:rPr>
          <w:rFonts w:eastAsia="Times New Roman" w:cs="Arial"/>
          <w:lang w:eastAsia="en-ZA"/>
        </w:rPr>
      </w:pPr>
      <w:r w:rsidRPr="00E4567F">
        <w:rPr>
          <w:rFonts w:eastAsia="Times New Roman" w:cs="Arial"/>
          <w:color w:val="2A2A2A"/>
          <w:lang w:eastAsia="en-ZA"/>
        </w:rPr>
        <w:t>Small Business Development: R 52 507 000</w:t>
      </w:r>
    </w:p>
    <w:p w14:paraId="018B4BD0" w14:textId="77777777" w:rsidR="00E4567F" w:rsidRPr="00E4567F" w:rsidRDefault="00E4567F" w:rsidP="00E4567F">
      <w:pPr>
        <w:numPr>
          <w:ilvl w:val="0"/>
          <w:numId w:val="10"/>
        </w:numPr>
        <w:tabs>
          <w:tab w:val="clear" w:pos="720"/>
        </w:tabs>
        <w:spacing w:before="120" w:after="120"/>
        <w:ind w:left="397" w:hanging="284"/>
        <w:jc w:val="both"/>
        <w:rPr>
          <w:rFonts w:eastAsia="Times New Roman" w:cs="Arial"/>
          <w:lang w:eastAsia="en-ZA"/>
        </w:rPr>
      </w:pPr>
      <w:r w:rsidRPr="00E4567F">
        <w:rPr>
          <w:rFonts w:eastAsia="Times New Roman" w:cs="Arial"/>
          <w:color w:val="2A2A2A"/>
          <w:lang w:eastAsia="en-ZA"/>
        </w:rPr>
        <w:t>The Presidency: R 27 434 000</w:t>
      </w:r>
    </w:p>
    <w:p w14:paraId="57E82BAD" w14:textId="77777777" w:rsidR="00E4567F" w:rsidRPr="00E4567F" w:rsidRDefault="00E4567F" w:rsidP="00E4567F">
      <w:pPr>
        <w:numPr>
          <w:ilvl w:val="0"/>
          <w:numId w:val="10"/>
        </w:numPr>
        <w:tabs>
          <w:tab w:val="clear" w:pos="720"/>
        </w:tabs>
        <w:spacing w:before="120" w:after="120"/>
        <w:ind w:left="397" w:hanging="284"/>
        <w:jc w:val="both"/>
        <w:rPr>
          <w:rFonts w:eastAsia="Times New Roman" w:cs="Arial"/>
          <w:lang w:eastAsia="en-ZA"/>
        </w:rPr>
      </w:pPr>
      <w:r w:rsidRPr="00E4567F">
        <w:rPr>
          <w:rFonts w:eastAsia="Times New Roman" w:cs="Arial"/>
          <w:color w:val="2A2A2A"/>
          <w:lang w:eastAsia="en-ZA"/>
        </w:rPr>
        <w:t>Planning, Monitoring and Evaluation: R 26 057 000</w:t>
      </w:r>
    </w:p>
    <w:p w14:paraId="00E05FC6" w14:textId="77777777" w:rsidR="00E4567F" w:rsidRPr="00E4567F" w:rsidRDefault="00E4567F" w:rsidP="00E4567F">
      <w:pPr>
        <w:numPr>
          <w:ilvl w:val="0"/>
          <w:numId w:val="10"/>
        </w:numPr>
        <w:tabs>
          <w:tab w:val="clear" w:pos="720"/>
        </w:tabs>
        <w:spacing w:before="120" w:after="120"/>
        <w:ind w:left="397" w:hanging="284"/>
        <w:jc w:val="both"/>
        <w:rPr>
          <w:rFonts w:eastAsia="Times New Roman" w:cs="Arial"/>
          <w:lang w:eastAsia="en-ZA"/>
        </w:rPr>
      </w:pPr>
      <w:r w:rsidRPr="00E4567F">
        <w:rPr>
          <w:rFonts w:eastAsia="Times New Roman" w:cs="Arial"/>
          <w:color w:val="2A2A2A"/>
          <w:lang w:eastAsia="en-ZA"/>
        </w:rPr>
        <w:t>Sport and Recreation South Africa: R 25 926 000</w:t>
      </w:r>
    </w:p>
    <w:p w14:paraId="3AC6D84A" w14:textId="77777777" w:rsidR="00E4567F" w:rsidRPr="00E4567F" w:rsidRDefault="00E4567F" w:rsidP="00E4567F">
      <w:pPr>
        <w:numPr>
          <w:ilvl w:val="0"/>
          <w:numId w:val="10"/>
        </w:numPr>
        <w:tabs>
          <w:tab w:val="clear" w:pos="720"/>
        </w:tabs>
        <w:spacing w:before="120" w:after="120"/>
        <w:ind w:left="397" w:hanging="284"/>
        <w:jc w:val="both"/>
        <w:rPr>
          <w:rFonts w:eastAsia="Times New Roman" w:cs="Arial"/>
          <w:lang w:eastAsia="en-ZA"/>
        </w:rPr>
      </w:pPr>
      <w:r w:rsidRPr="00E4567F">
        <w:rPr>
          <w:rFonts w:eastAsia="Times New Roman" w:cs="Arial"/>
          <w:color w:val="2A2A2A"/>
          <w:lang w:eastAsia="en-ZA"/>
        </w:rPr>
        <w:t>Independent Police Investigative Directorate: R 25 175 000</w:t>
      </w:r>
    </w:p>
    <w:p w14:paraId="796472E9" w14:textId="77777777" w:rsidR="00E4567F" w:rsidRPr="00E4567F" w:rsidRDefault="00E4567F" w:rsidP="00E4567F">
      <w:pPr>
        <w:numPr>
          <w:ilvl w:val="0"/>
          <w:numId w:val="10"/>
        </w:numPr>
        <w:tabs>
          <w:tab w:val="clear" w:pos="720"/>
        </w:tabs>
        <w:spacing w:before="120" w:after="120"/>
        <w:ind w:left="397" w:hanging="284"/>
        <w:jc w:val="both"/>
        <w:rPr>
          <w:rFonts w:eastAsia="Times New Roman" w:cs="Arial"/>
          <w:lang w:eastAsia="en-ZA"/>
        </w:rPr>
      </w:pPr>
      <w:r w:rsidRPr="00E4567F">
        <w:rPr>
          <w:rFonts w:eastAsia="Times New Roman" w:cs="Arial"/>
          <w:color w:val="2A2A2A"/>
          <w:lang w:eastAsia="en-ZA"/>
        </w:rPr>
        <w:t>Public Enterprises: R 15 026 000</w:t>
      </w:r>
    </w:p>
    <w:p w14:paraId="1D994CC2" w14:textId="77777777" w:rsidR="00E4567F" w:rsidRPr="00E4567F" w:rsidRDefault="00E4567F" w:rsidP="00E4567F">
      <w:pPr>
        <w:numPr>
          <w:ilvl w:val="0"/>
          <w:numId w:val="10"/>
        </w:numPr>
        <w:tabs>
          <w:tab w:val="clear" w:pos="720"/>
        </w:tabs>
        <w:spacing w:before="120" w:after="120"/>
        <w:ind w:left="397" w:hanging="284"/>
        <w:jc w:val="both"/>
        <w:rPr>
          <w:rFonts w:eastAsia="Times New Roman" w:cs="Arial"/>
          <w:lang w:eastAsia="en-ZA"/>
        </w:rPr>
      </w:pPr>
      <w:r w:rsidRPr="00E4567F">
        <w:rPr>
          <w:rFonts w:eastAsia="Times New Roman" w:cs="Arial"/>
          <w:color w:val="2A2A2A"/>
          <w:lang w:eastAsia="en-ZA"/>
        </w:rPr>
        <w:lastRenderedPageBreak/>
        <w:t>Women: R 14 164 000</w:t>
      </w:r>
    </w:p>
    <w:p w14:paraId="1D22688C" w14:textId="583F36C0" w:rsidR="00E4567F" w:rsidRPr="00E4567F" w:rsidRDefault="00E4567F" w:rsidP="00E4567F">
      <w:pPr>
        <w:spacing w:before="120" w:after="120"/>
        <w:jc w:val="both"/>
        <w:rPr>
          <w:rFonts w:eastAsia="Times New Roman" w:cs="Arial"/>
          <w:lang w:eastAsia="en-ZA"/>
        </w:rPr>
      </w:pPr>
      <w:r w:rsidRPr="00E4567F">
        <w:rPr>
          <w:rFonts w:eastAsia="Times New Roman" w:cs="Arial"/>
          <w:color w:val="2A2A2A"/>
          <w:lang w:eastAsia="en-ZA"/>
        </w:rPr>
        <w:br/>
        <w:t>So Department of social development (the department tasked with paying social grants to millions of South Africans) spent the most of any government department, in second place was the Department of Higher education and in third place Police. The total spending of all South Africa</w:t>
      </w:r>
      <w:r w:rsidR="00FA1C1A">
        <w:rPr>
          <w:rFonts w:eastAsia="Times New Roman" w:cs="Arial"/>
          <w:color w:val="2A2A2A"/>
          <w:lang w:eastAsia="en-ZA"/>
        </w:rPr>
        <w:t>’</w:t>
      </w:r>
      <w:r w:rsidRPr="00E4567F">
        <w:rPr>
          <w:rFonts w:eastAsia="Times New Roman" w:cs="Arial"/>
          <w:color w:val="2A2A2A"/>
          <w:lang w:eastAsia="en-ZA"/>
        </w:rPr>
        <w:t>s National government departments during April 2019 was R68.682 billion.  Total government spending during April 2019 amounted to R112.93 billion while only R69 billion was collected in taxes during the month of April 2019. So a massive budget deficit in April 2019 for the South African government. </w:t>
      </w:r>
    </w:p>
    <w:p w14:paraId="4C1193EE" w14:textId="77777777" w:rsidR="00E4567F" w:rsidRPr="00E4567F" w:rsidRDefault="00E4567F" w:rsidP="00E4567F">
      <w:pPr>
        <w:spacing w:before="120" w:after="120"/>
        <w:jc w:val="both"/>
        <w:outlineLvl w:val="1"/>
        <w:rPr>
          <w:rFonts w:eastAsia="Times New Roman" w:cs="Arial"/>
          <w:b/>
          <w:bCs/>
          <w:lang w:eastAsia="en-ZA"/>
        </w:rPr>
      </w:pPr>
      <w:r w:rsidRPr="00E4567F">
        <w:rPr>
          <w:rFonts w:eastAsia="Times New Roman" w:cs="Arial"/>
          <w:b/>
          <w:bCs/>
          <w:lang w:eastAsia="en-ZA"/>
        </w:rPr>
        <w:t>22 June 2019: Tax revenues collected in April 2019 compared to April 2018</w:t>
      </w:r>
    </w:p>
    <w:p w14:paraId="7FAF4E50" w14:textId="69832BAD" w:rsidR="00E4567F" w:rsidRDefault="00E4567F" w:rsidP="00E4567F">
      <w:pPr>
        <w:spacing w:before="120" w:after="120"/>
        <w:jc w:val="both"/>
        <w:rPr>
          <w:rFonts w:eastAsia="Times New Roman" w:cs="Arial"/>
          <w:color w:val="2A2A2A"/>
          <w:lang w:eastAsia="en-ZA"/>
        </w:rPr>
      </w:pPr>
      <w:r w:rsidRPr="00E4567F">
        <w:rPr>
          <w:rFonts w:eastAsia="Times New Roman" w:cs="Arial"/>
          <w:color w:val="2A2A2A"/>
          <w:lang w:eastAsia="en-ZA"/>
        </w:rPr>
        <w:t>Two days ago we raised the question that if government spending increases (expansionary fiscal policy) yet taxes charged in the country increases, is it still expansionary fiscal policy if increased taxes reduces households and companies ability to spend as it taxes money out of their pockets into government</w:t>
      </w:r>
      <w:r w:rsidR="00FA1C1A">
        <w:rPr>
          <w:rFonts w:eastAsia="Times New Roman" w:cs="Arial"/>
          <w:color w:val="2A2A2A"/>
          <w:lang w:eastAsia="en-ZA"/>
        </w:rPr>
        <w:t>’</w:t>
      </w:r>
      <w:r w:rsidRPr="00E4567F">
        <w:rPr>
          <w:rFonts w:eastAsia="Times New Roman" w:cs="Arial"/>
          <w:color w:val="2A2A2A"/>
          <w:lang w:eastAsia="en-ZA"/>
        </w:rPr>
        <w:t>s pocket. So while discussing taxes and increasing taxes on various taxes lets take a look at the value of taxes collected in April 2019 and compare it to the same month of last year.</w:t>
      </w:r>
    </w:p>
    <w:p w14:paraId="0A25DBD6" w14:textId="02D2D3F6" w:rsidR="00E4567F" w:rsidRDefault="00E4567F" w:rsidP="00E4567F">
      <w:pPr>
        <w:spacing w:before="120" w:after="120"/>
        <w:jc w:val="both"/>
        <w:rPr>
          <w:rFonts w:eastAsia="Times New Roman" w:cs="Arial"/>
          <w:color w:val="2A2A2A"/>
          <w:lang w:eastAsia="en-ZA"/>
        </w:rPr>
      </w:pPr>
      <w:r>
        <w:rPr>
          <w:color w:val="2A2A2A"/>
        </w:rPr>
        <w:t>                                                         2019                                 2018                             % change</w:t>
      </w:r>
      <w:r>
        <w:rPr>
          <w:color w:val="2A2A2A"/>
        </w:rPr>
        <w:br/>
        <w:t> Personal income tax:       R43 776 460 000,    R37 778 847 000          +15.9% </w:t>
      </w:r>
      <w:r>
        <w:rPr>
          <w:color w:val="2A2A2A"/>
        </w:rPr>
        <w:br/>
        <w:t>​ Corporate income tax:    R1 151 770   000,     R1 032 314  000           +11.6%</w:t>
      </w:r>
      <w:r>
        <w:rPr>
          <w:color w:val="2A2A2A"/>
        </w:rPr>
        <w:br/>
        <w:t> Value added tax:                 R19 087 796 000,    R21 358 371 000          -10.6 %</w:t>
      </w:r>
      <w:r>
        <w:rPr>
          <w:color w:val="2A2A2A"/>
        </w:rPr>
        <w:br/>
        <w:t> Beer:                                          R645 432 000,            R582 324 000                +10.8 %</w:t>
      </w:r>
      <w:r>
        <w:rPr>
          <w:color w:val="2A2A2A"/>
        </w:rPr>
        <w:br/>
        <w:t> Wine:                                         R344 650 000,            R290 891 000                +18.5% </w:t>
      </w:r>
      <w:r>
        <w:rPr>
          <w:color w:val="2A2A2A"/>
        </w:rPr>
        <w:br/>
        <w:t> Cigarettes:                             R1 968 022 000,         R2 678 687  000            -26.5% </w:t>
      </w:r>
      <w:r>
        <w:rPr>
          <w:color w:val="2A2A2A"/>
        </w:rPr>
        <w:br/>
        <w:t> Air departure tax:              R101 134 000              R95 720  000                  +5.7%</w:t>
      </w:r>
      <w:r>
        <w:rPr>
          <w:color w:val="2A2A2A"/>
        </w:rPr>
        <w:br/>
        <w:t> Plastic bag levy:                  R360 000                         R624 000                          -42.3%</w:t>
      </w:r>
      <w:r>
        <w:rPr>
          <w:color w:val="2A2A2A"/>
        </w:rPr>
        <w:br/>
        <w:t> Electricity levy:                   R681 890 000               R714 972  000                -4.6%</w:t>
      </w:r>
      <w:r>
        <w:rPr>
          <w:color w:val="2A2A2A"/>
        </w:rPr>
        <w:br/>
        <w:t> CO</w:t>
      </w:r>
      <w:r>
        <w:rPr>
          <w:rFonts w:ascii="Cambria Math" w:hAnsi="Cambria Math" w:cs="Cambria Math"/>
          <w:color w:val="2A2A2A"/>
        </w:rPr>
        <w:t>₂</w:t>
      </w:r>
      <w:r>
        <w:rPr>
          <w:color w:val="2A2A2A"/>
        </w:rPr>
        <w:t xml:space="preserve"> tax on cars:</w:t>
      </w:r>
      <w:r>
        <w:rPr>
          <w:rFonts w:cs="Arial"/>
          <w:color w:val="2A2A2A"/>
        </w:rPr>
        <w:t> </w:t>
      </w:r>
      <w:r>
        <w:rPr>
          <w:color w:val="2A2A2A"/>
        </w:rPr>
        <w:t xml:space="preserve"> </w:t>
      </w:r>
      <w:r>
        <w:rPr>
          <w:rFonts w:cs="Arial"/>
          <w:color w:val="2A2A2A"/>
        </w:rPr>
        <w:t> </w:t>
      </w:r>
      <w:r>
        <w:rPr>
          <w:color w:val="2A2A2A"/>
        </w:rPr>
        <w:t xml:space="preserve"> </w:t>
      </w:r>
      <w:r>
        <w:rPr>
          <w:rFonts w:cs="Arial"/>
          <w:color w:val="2A2A2A"/>
        </w:rPr>
        <w:t> </w:t>
      </w:r>
      <w:r>
        <w:rPr>
          <w:color w:val="2A2A2A"/>
        </w:rPr>
        <w:t xml:space="preserve"> </w:t>
      </w:r>
      <w:r>
        <w:rPr>
          <w:rFonts w:cs="Arial"/>
          <w:color w:val="2A2A2A"/>
        </w:rPr>
        <w:t> </w:t>
      </w:r>
      <w:r>
        <w:rPr>
          <w:color w:val="2A2A2A"/>
        </w:rPr>
        <w:t xml:space="preserve"> </w:t>
      </w:r>
      <w:r>
        <w:rPr>
          <w:rFonts w:cs="Arial"/>
          <w:color w:val="2A2A2A"/>
        </w:rPr>
        <w:t> </w:t>
      </w:r>
      <w:r>
        <w:rPr>
          <w:color w:val="2A2A2A"/>
        </w:rPr>
        <w:t xml:space="preserve"> </w:t>
      </w:r>
      <w:r>
        <w:rPr>
          <w:rFonts w:cs="Arial"/>
          <w:color w:val="2A2A2A"/>
        </w:rPr>
        <w:t> </w:t>
      </w:r>
      <w:r>
        <w:rPr>
          <w:color w:val="2A2A2A"/>
        </w:rPr>
        <w:t xml:space="preserve"> </w:t>
      </w:r>
      <w:r>
        <w:rPr>
          <w:rFonts w:cs="Arial"/>
          <w:color w:val="2A2A2A"/>
        </w:rPr>
        <w:t> </w:t>
      </w:r>
      <w:r>
        <w:rPr>
          <w:color w:val="2A2A2A"/>
        </w:rPr>
        <w:t xml:space="preserve"> </w:t>
      </w:r>
      <w:r>
        <w:rPr>
          <w:rFonts w:cs="Arial"/>
          <w:color w:val="2A2A2A"/>
        </w:rPr>
        <w:t> </w:t>
      </w:r>
      <w:r>
        <w:rPr>
          <w:color w:val="2A2A2A"/>
        </w:rPr>
        <w:t xml:space="preserve"> </w:t>
      </w:r>
      <w:r>
        <w:rPr>
          <w:rFonts w:cs="Arial"/>
          <w:color w:val="2A2A2A"/>
        </w:rPr>
        <w:t> </w:t>
      </w:r>
      <w:r>
        <w:rPr>
          <w:color w:val="2A2A2A"/>
        </w:rPr>
        <w:t>R131 657 000</w:t>
      </w:r>
      <w:r>
        <w:rPr>
          <w:rFonts w:cs="Arial"/>
          <w:color w:val="2A2A2A"/>
        </w:rPr>
        <w:t> </w:t>
      </w:r>
      <w:r>
        <w:rPr>
          <w:color w:val="2A2A2A"/>
        </w:rPr>
        <w:t xml:space="preserve"> </w:t>
      </w:r>
      <w:r>
        <w:rPr>
          <w:rFonts w:cs="Arial"/>
          <w:color w:val="2A2A2A"/>
        </w:rPr>
        <w:t> </w:t>
      </w:r>
      <w:r>
        <w:rPr>
          <w:color w:val="2A2A2A"/>
        </w:rPr>
        <w:t xml:space="preserve"> </w:t>
      </w:r>
      <w:r>
        <w:rPr>
          <w:rFonts w:cs="Arial"/>
          <w:color w:val="2A2A2A"/>
        </w:rPr>
        <w:t> </w:t>
      </w:r>
      <w:r>
        <w:rPr>
          <w:color w:val="2A2A2A"/>
        </w:rPr>
        <w:t xml:space="preserve"> </w:t>
      </w:r>
      <w:r>
        <w:rPr>
          <w:rFonts w:cs="Arial"/>
          <w:color w:val="2A2A2A"/>
        </w:rPr>
        <w:t> </w:t>
      </w:r>
      <w:r>
        <w:rPr>
          <w:color w:val="2A2A2A"/>
        </w:rPr>
        <w:t xml:space="preserve"> </w:t>
      </w:r>
      <w:r>
        <w:rPr>
          <w:rFonts w:cs="Arial"/>
          <w:color w:val="2A2A2A"/>
        </w:rPr>
        <w:t> </w:t>
      </w:r>
      <w:r>
        <w:rPr>
          <w:color w:val="2A2A2A"/>
        </w:rPr>
        <w:t xml:space="preserve"> </w:t>
      </w:r>
      <w:r>
        <w:rPr>
          <w:rFonts w:cs="Arial"/>
          <w:color w:val="2A2A2A"/>
        </w:rPr>
        <w:t> </w:t>
      </w:r>
      <w:r>
        <w:rPr>
          <w:color w:val="2A2A2A"/>
        </w:rPr>
        <w:t xml:space="preserve"> </w:t>
      </w:r>
      <w:r>
        <w:rPr>
          <w:rFonts w:cs="Arial"/>
          <w:color w:val="2A2A2A"/>
        </w:rPr>
        <w:t> </w:t>
      </w:r>
      <w:r>
        <w:rPr>
          <w:color w:val="2A2A2A"/>
        </w:rPr>
        <w:t xml:space="preserve"> </w:t>
      </w:r>
      <w:r>
        <w:rPr>
          <w:rFonts w:cs="Arial"/>
          <w:color w:val="2A2A2A"/>
        </w:rPr>
        <w:t> </w:t>
      </w:r>
      <w:r>
        <w:rPr>
          <w:color w:val="2A2A2A"/>
        </w:rPr>
        <w:t>R139 194 000</w:t>
      </w:r>
      <w:r>
        <w:rPr>
          <w:rFonts w:cs="Arial"/>
          <w:color w:val="2A2A2A"/>
        </w:rPr>
        <w:t> </w:t>
      </w:r>
      <w:r>
        <w:rPr>
          <w:color w:val="2A2A2A"/>
        </w:rPr>
        <w:t xml:space="preserve"> </w:t>
      </w:r>
      <w:r>
        <w:rPr>
          <w:rFonts w:cs="Arial"/>
          <w:color w:val="2A2A2A"/>
        </w:rPr>
        <w:t> </w:t>
      </w:r>
      <w:r>
        <w:rPr>
          <w:color w:val="2A2A2A"/>
        </w:rPr>
        <w:t xml:space="preserve"> </w:t>
      </w:r>
      <w:r>
        <w:rPr>
          <w:rFonts w:cs="Arial"/>
          <w:color w:val="2A2A2A"/>
        </w:rPr>
        <w:t> </w:t>
      </w:r>
      <w:r>
        <w:rPr>
          <w:color w:val="2A2A2A"/>
        </w:rPr>
        <w:t xml:space="preserve"> </w:t>
      </w:r>
      <w:r>
        <w:rPr>
          <w:rFonts w:cs="Arial"/>
          <w:color w:val="2A2A2A"/>
        </w:rPr>
        <w:t> </w:t>
      </w:r>
      <w:r>
        <w:rPr>
          <w:color w:val="2A2A2A"/>
        </w:rPr>
        <w:t xml:space="preserve"> </w:t>
      </w:r>
      <w:r>
        <w:rPr>
          <w:rFonts w:cs="Arial"/>
          <w:color w:val="2A2A2A"/>
        </w:rPr>
        <w:t> </w:t>
      </w:r>
      <w:r>
        <w:rPr>
          <w:color w:val="2A2A2A"/>
        </w:rPr>
        <w:t xml:space="preserve"> </w:t>
      </w:r>
      <w:r>
        <w:rPr>
          <w:rFonts w:cs="Arial"/>
          <w:color w:val="2A2A2A"/>
        </w:rPr>
        <w:t> </w:t>
      </w:r>
      <w:r>
        <w:rPr>
          <w:color w:val="2A2A2A"/>
        </w:rPr>
        <w:t xml:space="preserve"> </w:t>
      </w:r>
      <w:r>
        <w:rPr>
          <w:rFonts w:cs="Arial"/>
          <w:color w:val="2A2A2A"/>
        </w:rPr>
        <w:t> </w:t>
      </w:r>
      <w:r>
        <w:rPr>
          <w:color w:val="2A2A2A"/>
        </w:rPr>
        <w:t xml:space="preserve"> </w:t>
      </w:r>
      <w:r>
        <w:rPr>
          <w:rFonts w:cs="Arial"/>
          <w:color w:val="2A2A2A"/>
        </w:rPr>
        <w:t> </w:t>
      </w:r>
      <w:r>
        <w:rPr>
          <w:color w:val="2A2A2A"/>
        </w:rPr>
        <w:t xml:space="preserve"> </w:t>
      </w:r>
      <w:r>
        <w:rPr>
          <w:rFonts w:cs="Arial"/>
          <w:color w:val="2A2A2A"/>
        </w:rPr>
        <w:t> </w:t>
      </w:r>
      <w:r>
        <w:rPr>
          <w:color w:val="2A2A2A"/>
        </w:rPr>
        <w:t>-5.4%</w:t>
      </w:r>
      <w:r>
        <w:rPr>
          <w:rFonts w:cs="Arial"/>
          <w:color w:val="2A2A2A"/>
        </w:rPr>
        <w:t>  </w:t>
      </w:r>
      <w:r>
        <w:rPr>
          <w:color w:val="2A2A2A"/>
        </w:rPr>
        <w:t> </w:t>
      </w:r>
    </w:p>
    <w:p w14:paraId="5964FFD4" w14:textId="7EC15292" w:rsidR="00E4567F" w:rsidRPr="00E4567F" w:rsidRDefault="00E4567F" w:rsidP="00E4567F">
      <w:pPr>
        <w:spacing w:before="120" w:after="120"/>
        <w:jc w:val="both"/>
        <w:rPr>
          <w:rFonts w:eastAsia="Times New Roman" w:cs="Arial"/>
          <w:lang w:eastAsia="en-ZA"/>
        </w:rPr>
      </w:pPr>
      <w:r w:rsidRPr="00E4567F">
        <w:rPr>
          <w:rFonts w:eastAsia="Times New Roman" w:cs="Arial"/>
          <w:color w:val="2A2A2A"/>
          <w:lang w:eastAsia="en-ZA"/>
        </w:rPr>
        <w:br/>
        <w:t>So strong increases in personal income taxes collected in April 2019 compared to April 2018. Worrying is that value added tax collected declined by over 10%. But this was due to a sharp increase in VAT refunds being paid out. Taxes on cigarettes declined sharply. Lets hope this is due to people smoking less in South Africa. Plastic bag levy declined sharply. Hopefully this is a sign people are starting to worry more about the environment and take reusable bags to the shop to put their groceries in. CO2 takes collected on cars declined by almost 6%. One of two possible reasons. Cars are becoming more fuel efficient and thus less CO2 emissions charged. The other reason for the decline is the slowing down of new vehicle sales in South Africa. All in all a pretty mixed bag in April 2019 for South Africa</w:t>
      </w:r>
      <w:r w:rsidR="00FA1C1A">
        <w:rPr>
          <w:rFonts w:eastAsia="Times New Roman" w:cs="Arial"/>
          <w:color w:val="2A2A2A"/>
          <w:lang w:eastAsia="en-ZA"/>
        </w:rPr>
        <w:t>’</w:t>
      </w:r>
      <w:r w:rsidRPr="00E4567F">
        <w:rPr>
          <w:rFonts w:eastAsia="Times New Roman" w:cs="Arial"/>
          <w:color w:val="2A2A2A"/>
          <w:lang w:eastAsia="en-ZA"/>
        </w:rPr>
        <w:t>s taxes collected.</w:t>
      </w:r>
    </w:p>
    <w:p w14:paraId="12B75736" w14:textId="77777777" w:rsidR="00E4567F" w:rsidRPr="00E4567F" w:rsidRDefault="00E4567F" w:rsidP="00E4567F">
      <w:pPr>
        <w:spacing w:before="120" w:after="120"/>
        <w:jc w:val="both"/>
        <w:outlineLvl w:val="1"/>
        <w:rPr>
          <w:rFonts w:eastAsia="Times New Roman" w:cs="Arial"/>
          <w:b/>
          <w:bCs/>
          <w:lang w:eastAsia="en-ZA"/>
        </w:rPr>
      </w:pPr>
      <w:r w:rsidRPr="00E4567F">
        <w:rPr>
          <w:rFonts w:eastAsia="Times New Roman" w:cs="Arial"/>
          <w:b/>
          <w:bCs/>
          <w:lang w:eastAsia="en-ZA"/>
        </w:rPr>
        <w:t>20 June 2019: Contractionary fiscal policy by the South African government?</w:t>
      </w:r>
    </w:p>
    <w:p w14:paraId="2843FC95" w14:textId="0F929142" w:rsidR="00E4567F" w:rsidRDefault="00E4567F" w:rsidP="00E4567F">
      <w:pPr>
        <w:spacing w:before="120" w:after="120"/>
        <w:jc w:val="both"/>
        <w:rPr>
          <w:rFonts w:eastAsia="Times New Roman" w:cs="Arial"/>
          <w:color w:val="2A2A2A"/>
          <w:lang w:eastAsia="en-ZA"/>
        </w:rPr>
      </w:pPr>
      <w:r w:rsidRPr="00E4567F">
        <w:rPr>
          <w:rFonts w:eastAsia="Times New Roman" w:cs="Arial"/>
          <w:color w:val="2A2A2A"/>
          <w:lang w:eastAsia="en-ZA"/>
        </w:rPr>
        <w:t>The big question currently being asked is if South Africa</w:t>
      </w:r>
      <w:r w:rsidR="00FA1C1A">
        <w:rPr>
          <w:rFonts w:eastAsia="Times New Roman" w:cs="Arial"/>
          <w:color w:val="2A2A2A"/>
          <w:lang w:eastAsia="en-ZA"/>
        </w:rPr>
        <w:t>’</w:t>
      </w:r>
      <w:r w:rsidRPr="00E4567F">
        <w:rPr>
          <w:rFonts w:eastAsia="Times New Roman" w:cs="Arial"/>
          <w:color w:val="2A2A2A"/>
          <w:lang w:eastAsia="en-ZA"/>
        </w:rPr>
        <w:t>s fiscal policy is contractionary? Well to answer that we need to know what contractionary fiscal policy is? The easiest way to describe contractionary fiscal policy is to say government is spending less than what they did the year before, or to say government spending is growing at a slower rate than it used to in the past.  What is the point of contractionary fiscal policy. Such policy is usually implemented if governments feel the economy is overheating (growing to fast) and demand needs to be reduced, government will then spend less in order to reduce demand and thus cool the economy down (or contract it), thus contractionary fiscal policy. But that is only looking at one aspect of fiscal policy. Fiscal policy is about taxes and government spending.</w:t>
      </w:r>
    </w:p>
    <w:p w14:paraId="47EC1894" w14:textId="77777777" w:rsidR="00E4567F" w:rsidRDefault="00E4567F" w:rsidP="00E4567F">
      <w:pPr>
        <w:spacing w:before="120" w:after="120"/>
        <w:jc w:val="both"/>
        <w:rPr>
          <w:rFonts w:eastAsia="Times New Roman" w:cs="Arial"/>
          <w:color w:val="2A2A2A"/>
          <w:lang w:eastAsia="en-ZA"/>
        </w:rPr>
      </w:pPr>
      <w:r w:rsidRPr="00E4567F">
        <w:rPr>
          <w:rFonts w:eastAsia="Times New Roman" w:cs="Arial"/>
          <w:color w:val="2A2A2A"/>
          <w:lang w:eastAsia="en-ZA"/>
        </w:rPr>
        <w:t>What if government spending is growing (expansionary fiscal policy), but they are also raising taxes (which takes money away from consumers which has a contractionary effect on the economy. If the impact of raising taxes is greater than increased government spending then what looks like expansionary fiscal policy might actually be contractionary fiscal policy. And this is where we believe the South African government and its fiscal policy is finding itself in right now.</w:t>
      </w:r>
    </w:p>
    <w:p w14:paraId="1E997B60" w14:textId="5A7F1621" w:rsidR="00E4567F" w:rsidRPr="00E4567F" w:rsidRDefault="00E4567F" w:rsidP="00E4567F">
      <w:pPr>
        <w:spacing w:before="120" w:after="120"/>
        <w:jc w:val="both"/>
        <w:rPr>
          <w:rFonts w:eastAsia="Times New Roman" w:cs="Arial"/>
          <w:lang w:eastAsia="en-ZA"/>
        </w:rPr>
      </w:pPr>
      <w:r w:rsidRPr="00E4567F">
        <w:rPr>
          <w:rFonts w:eastAsia="Times New Roman" w:cs="Arial"/>
          <w:color w:val="2A2A2A"/>
          <w:lang w:eastAsia="en-ZA"/>
        </w:rPr>
        <w:lastRenderedPageBreak/>
        <w:t>Government spending is growing (all be it relatively slowly), but the increased taxes over the last couple of years has more than offset the growth in government spending, thus we believe the current fiscal policy stance of South Africa is contractionary.</w:t>
      </w:r>
    </w:p>
    <w:p w14:paraId="011ED3AB" w14:textId="77777777" w:rsidR="00E4567F" w:rsidRPr="00E4567F" w:rsidRDefault="00E4567F" w:rsidP="00E4567F">
      <w:pPr>
        <w:spacing w:before="120" w:after="120"/>
        <w:jc w:val="both"/>
        <w:outlineLvl w:val="1"/>
        <w:rPr>
          <w:rFonts w:eastAsia="Times New Roman" w:cs="Arial"/>
          <w:b/>
          <w:bCs/>
          <w:lang w:eastAsia="en-ZA"/>
        </w:rPr>
      </w:pPr>
      <w:r w:rsidRPr="00E4567F">
        <w:rPr>
          <w:rFonts w:eastAsia="Times New Roman" w:cs="Arial"/>
          <w:b/>
          <w:bCs/>
          <w:lang w:eastAsia="en-ZA"/>
        </w:rPr>
        <w:t>6 May 2019: SA government spending per National Department for 2018/2019</w:t>
      </w:r>
    </w:p>
    <w:p w14:paraId="16AAE6AB" w14:textId="77777777" w:rsidR="00E4567F" w:rsidRPr="00E4567F" w:rsidRDefault="00E4567F" w:rsidP="00E4567F">
      <w:pPr>
        <w:spacing w:before="120" w:after="120"/>
        <w:jc w:val="both"/>
        <w:rPr>
          <w:rFonts w:eastAsia="Times New Roman" w:cs="Arial"/>
          <w:lang w:eastAsia="en-ZA"/>
        </w:rPr>
      </w:pPr>
      <w:r w:rsidRPr="00E4567F">
        <w:rPr>
          <w:rFonts w:eastAsia="Times New Roman" w:cs="Arial"/>
          <w:color w:val="2A2A2A"/>
          <w:lang w:eastAsia="en-ZA"/>
        </w:rPr>
        <w:t>The following update takes a look at the total spending per National government department for the financial year ending March 2019. So just how much did each department spend and what does each department make up in terms of total National government department spending? Which department gets the most money to spend? Is it Police? Or Department of Health? Or the Department of Social Development (the department responsible for distributing social grants?)</w:t>
      </w:r>
    </w:p>
    <w:p w14:paraId="355FF3A8" w14:textId="70139560" w:rsidR="00E4567F" w:rsidRPr="00E4567F" w:rsidRDefault="00E4567F" w:rsidP="00E4567F">
      <w:pPr>
        <w:numPr>
          <w:ilvl w:val="0"/>
          <w:numId w:val="11"/>
        </w:numPr>
        <w:tabs>
          <w:tab w:val="clear" w:pos="720"/>
        </w:tabs>
        <w:spacing w:before="120" w:after="120"/>
        <w:ind w:left="397" w:hanging="284"/>
        <w:jc w:val="both"/>
        <w:rPr>
          <w:rFonts w:eastAsia="Times New Roman" w:cs="Arial"/>
          <w:lang w:eastAsia="en-ZA"/>
        </w:rPr>
      </w:pPr>
      <w:r w:rsidRPr="00E4567F">
        <w:rPr>
          <w:rFonts w:eastAsia="Times New Roman" w:cs="Arial"/>
          <w:color w:val="2A2A2A"/>
          <w:lang w:eastAsia="en-ZA"/>
        </w:rPr>
        <w:t>Social Development:</w:t>
      </w:r>
      <w:r>
        <w:rPr>
          <w:rFonts w:eastAsia="Times New Roman" w:cs="Arial"/>
          <w:color w:val="2A2A2A"/>
          <w:lang w:eastAsia="en-ZA"/>
        </w:rPr>
        <w:t xml:space="preserve"> </w:t>
      </w:r>
      <w:r w:rsidRPr="00E4567F">
        <w:rPr>
          <w:rFonts w:eastAsia="Times New Roman" w:cs="Arial"/>
          <w:color w:val="2A2A2A"/>
          <w:lang w:eastAsia="en-ZA"/>
        </w:rPr>
        <w:t>R 159 396 550 000 (20.73%)</w:t>
      </w:r>
    </w:p>
    <w:p w14:paraId="3D134897" w14:textId="4017E75C" w:rsidR="00E4567F" w:rsidRPr="00E4567F" w:rsidRDefault="00E4567F" w:rsidP="00E4567F">
      <w:pPr>
        <w:numPr>
          <w:ilvl w:val="0"/>
          <w:numId w:val="11"/>
        </w:numPr>
        <w:tabs>
          <w:tab w:val="clear" w:pos="720"/>
        </w:tabs>
        <w:spacing w:before="120" w:after="120"/>
        <w:ind w:left="397" w:hanging="284"/>
        <w:jc w:val="both"/>
        <w:rPr>
          <w:rFonts w:eastAsia="Times New Roman" w:cs="Arial"/>
          <w:lang w:eastAsia="en-ZA"/>
        </w:rPr>
      </w:pPr>
      <w:r w:rsidRPr="00E4567F">
        <w:rPr>
          <w:rFonts w:eastAsia="Times New Roman" w:cs="Arial"/>
          <w:color w:val="2A2A2A"/>
          <w:lang w:eastAsia="en-ZA"/>
        </w:rPr>
        <w:t>Police:</w:t>
      </w:r>
      <w:r>
        <w:rPr>
          <w:rFonts w:eastAsia="Times New Roman" w:cs="Arial"/>
          <w:color w:val="2A2A2A"/>
          <w:lang w:eastAsia="en-ZA"/>
        </w:rPr>
        <w:t xml:space="preserve"> </w:t>
      </w:r>
      <w:r w:rsidRPr="00E4567F">
        <w:rPr>
          <w:rFonts w:eastAsia="Times New Roman" w:cs="Arial"/>
          <w:color w:val="2A2A2A"/>
          <w:lang w:eastAsia="en-ZA"/>
        </w:rPr>
        <w:t>R 86 605 048 000 (11.26%)</w:t>
      </w:r>
    </w:p>
    <w:p w14:paraId="27D48ECE" w14:textId="0490BFBA" w:rsidR="00E4567F" w:rsidRPr="00E4567F" w:rsidRDefault="00E4567F" w:rsidP="00E4567F">
      <w:pPr>
        <w:numPr>
          <w:ilvl w:val="0"/>
          <w:numId w:val="11"/>
        </w:numPr>
        <w:tabs>
          <w:tab w:val="clear" w:pos="720"/>
        </w:tabs>
        <w:spacing w:before="120" w:after="120"/>
        <w:ind w:left="397" w:hanging="284"/>
        <w:jc w:val="both"/>
        <w:rPr>
          <w:rFonts w:eastAsia="Times New Roman" w:cs="Arial"/>
          <w:lang w:eastAsia="en-ZA"/>
        </w:rPr>
      </w:pPr>
      <w:r w:rsidRPr="00E4567F">
        <w:rPr>
          <w:rFonts w:eastAsia="Times New Roman" w:cs="Arial"/>
          <w:color w:val="2A2A2A"/>
          <w:lang w:eastAsia="en-ZA"/>
        </w:rPr>
        <w:t>Cooperative Governance and Traditional Affairs:</w:t>
      </w:r>
      <w:r>
        <w:rPr>
          <w:rFonts w:eastAsia="Times New Roman" w:cs="Arial"/>
          <w:color w:val="2A2A2A"/>
          <w:lang w:eastAsia="en-ZA"/>
        </w:rPr>
        <w:t xml:space="preserve"> </w:t>
      </w:r>
      <w:r w:rsidRPr="00E4567F">
        <w:rPr>
          <w:rFonts w:eastAsia="Times New Roman" w:cs="Arial"/>
          <w:color w:val="2A2A2A"/>
          <w:lang w:eastAsia="en-ZA"/>
        </w:rPr>
        <w:t>R 76 362 043 000 (9.93%)</w:t>
      </w:r>
    </w:p>
    <w:p w14:paraId="20772AA3" w14:textId="77777777" w:rsidR="00E4567F" w:rsidRPr="00E4567F" w:rsidRDefault="00E4567F" w:rsidP="00E4567F">
      <w:pPr>
        <w:numPr>
          <w:ilvl w:val="0"/>
          <w:numId w:val="11"/>
        </w:numPr>
        <w:tabs>
          <w:tab w:val="clear" w:pos="720"/>
        </w:tabs>
        <w:spacing w:before="120" w:after="120"/>
        <w:ind w:left="397" w:hanging="284"/>
        <w:jc w:val="both"/>
        <w:rPr>
          <w:rFonts w:eastAsia="Times New Roman" w:cs="Arial"/>
          <w:lang w:eastAsia="en-ZA"/>
        </w:rPr>
      </w:pPr>
      <w:r w:rsidRPr="00E4567F">
        <w:rPr>
          <w:rFonts w:eastAsia="Times New Roman" w:cs="Arial"/>
          <w:color w:val="2A2A2A"/>
          <w:lang w:eastAsia="en-ZA"/>
        </w:rPr>
        <w:t>Transport:R 54 670 701 000 (7.11%)</w:t>
      </w:r>
    </w:p>
    <w:p w14:paraId="16AB72BA" w14:textId="70BC5834" w:rsidR="00E4567F" w:rsidRPr="00E4567F" w:rsidRDefault="00E4567F" w:rsidP="00E4567F">
      <w:pPr>
        <w:numPr>
          <w:ilvl w:val="0"/>
          <w:numId w:val="11"/>
        </w:numPr>
        <w:tabs>
          <w:tab w:val="clear" w:pos="720"/>
        </w:tabs>
        <w:spacing w:before="120" w:after="120"/>
        <w:ind w:left="397" w:hanging="284"/>
        <w:jc w:val="both"/>
        <w:rPr>
          <w:rFonts w:eastAsia="Times New Roman" w:cs="Arial"/>
          <w:lang w:eastAsia="en-ZA"/>
        </w:rPr>
      </w:pPr>
      <w:r w:rsidRPr="00E4567F">
        <w:rPr>
          <w:rFonts w:eastAsia="Times New Roman" w:cs="Arial"/>
          <w:color w:val="2A2A2A"/>
          <w:lang w:eastAsia="en-ZA"/>
        </w:rPr>
        <w:t>Higher Education and Training:</w:t>
      </w:r>
      <w:r>
        <w:rPr>
          <w:rFonts w:eastAsia="Times New Roman" w:cs="Arial"/>
          <w:color w:val="2A2A2A"/>
          <w:lang w:eastAsia="en-ZA"/>
        </w:rPr>
        <w:t xml:space="preserve"> </w:t>
      </w:r>
      <w:r w:rsidRPr="00E4567F">
        <w:rPr>
          <w:rFonts w:eastAsia="Times New Roman" w:cs="Arial"/>
          <w:color w:val="2A2A2A"/>
          <w:lang w:eastAsia="en-ZA"/>
        </w:rPr>
        <w:t>R 52 295 860 000 (6.80%)</w:t>
      </w:r>
    </w:p>
    <w:p w14:paraId="4A5D164C" w14:textId="3A5685BA" w:rsidR="00E4567F" w:rsidRPr="00E4567F" w:rsidRDefault="00E4567F" w:rsidP="00E4567F">
      <w:pPr>
        <w:numPr>
          <w:ilvl w:val="0"/>
          <w:numId w:val="11"/>
        </w:numPr>
        <w:tabs>
          <w:tab w:val="clear" w:pos="720"/>
        </w:tabs>
        <w:spacing w:before="120" w:after="120"/>
        <w:ind w:left="397" w:hanging="284"/>
        <w:jc w:val="both"/>
        <w:rPr>
          <w:rFonts w:eastAsia="Times New Roman" w:cs="Arial"/>
          <w:lang w:eastAsia="en-ZA"/>
        </w:rPr>
      </w:pPr>
      <w:r w:rsidRPr="00E4567F">
        <w:rPr>
          <w:rFonts w:eastAsia="Times New Roman" w:cs="Arial"/>
          <w:color w:val="2A2A2A"/>
          <w:lang w:eastAsia="en-ZA"/>
        </w:rPr>
        <w:t>Defence and Military Veterans:</w:t>
      </w:r>
      <w:r>
        <w:rPr>
          <w:rFonts w:eastAsia="Times New Roman" w:cs="Arial"/>
          <w:color w:val="2A2A2A"/>
          <w:lang w:eastAsia="en-ZA"/>
        </w:rPr>
        <w:t xml:space="preserve"> </w:t>
      </w:r>
      <w:r w:rsidRPr="00E4567F">
        <w:rPr>
          <w:rFonts w:eastAsia="Times New Roman" w:cs="Arial"/>
          <w:color w:val="2A2A2A"/>
          <w:lang w:eastAsia="en-ZA"/>
        </w:rPr>
        <w:t>R 48 977 232 000 (6.37%)</w:t>
      </w:r>
    </w:p>
    <w:p w14:paraId="702D3B72" w14:textId="2455022B" w:rsidR="00E4567F" w:rsidRPr="00E4567F" w:rsidRDefault="00E4567F" w:rsidP="00E4567F">
      <w:pPr>
        <w:numPr>
          <w:ilvl w:val="0"/>
          <w:numId w:val="11"/>
        </w:numPr>
        <w:tabs>
          <w:tab w:val="clear" w:pos="720"/>
        </w:tabs>
        <w:spacing w:before="120" w:after="120"/>
        <w:ind w:left="397" w:hanging="284"/>
        <w:jc w:val="both"/>
        <w:rPr>
          <w:rFonts w:eastAsia="Times New Roman" w:cs="Arial"/>
          <w:lang w:eastAsia="en-ZA"/>
        </w:rPr>
      </w:pPr>
      <w:r w:rsidRPr="00E4567F">
        <w:rPr>
          <w:rFonts w:eastAsia="Times New Roman" w:cs="Arial"/>
          <w:color w:val="2A2A2A"/>
          <w:lang w:eastAsia="en-ZA"/>
        </w:rPr>
        <w:t>Health:</w:t>
      </w:r>
      <w:r>
        <w:rPr>
          <w:rFonts w:eastAsia="Times New Roman" w:cs="Arial"/>
          <w:color w:val="2A2A2A"/>
          <w:lang w:eastAsia="en-ZA"/>
        </w:rPr>
        <w:t xml:space="preserve"> </w:t>
      </w:r>
      <w:r w:rsidRPr="00E4567F">
        <w:rPr>
          <w:rFonts w:eastAsia="Times New Roman" w:cs="Arial"/>
          <w:color w:val="2A2A2A"/>
          <w:lang w:eastAsia="en-ZA"/>
        </w:rPr>
        <w:t>R 42 424 691 000 (5.52%)</w:t>
      </w:r>
    </w:p>
    <w:p w14:paraId="124E7C74" w14:textId="145EBE58" w:rsidR="00E4567F" w:rsidRPr="00E4567F" w:rsidRDefault="00E4567F" w:rsidP="00E4567F">
      <w:pPr>
        <w:numPr>
          <w:ilvl w:val="0"/>
          <w:numId w:val="11"/>
        </w:numPr>
        <w:tabs>
          <w:tab w:val="clear" w:pos="720"/>
        </w:tabs>
        <w:spacing w:before="120" w:after="120"/>
        <w:ind w:left="397" w:hanging="284"/>
        <w:jc w:val="both"/>
        <w:rPr>
          <w:rFonts w:eastAsia="Times New Roman" w:cs="Arial"/>
          <w:lang w:eastAsia="en-ZA"/>
        </w:rPr>
      </w:pPr>
      <w:r w:rsidRPr="00E4567F">
        <w:rPr>
          <w:rFonts w:eastAsia="Times New Roman" w:cs="Arial"/>
          <w:color w:val="2A2A2A"/>
          <w:lang w:eastAsia="en-ZA"/>
        </w:rPr>
        <w:t>National Treasury:</w:t>
      </w:r>
      <w:r>
        <w:rPr>
          <w:rFonts w:eastAsia="Times New Roman" w:cs="Arial"/>
          <w:color w:val="2A2A2A"/>
          <w:lang w:eastAsia="en-ZA"/>
        </w:rPr>
        <w:t xml:space="preserve"> </w:t>
      </w:r>
      <w:r w:rsidRPr="00E4567F">
        <w:rPr>
          <w:rFonts w:eastAsia="Times New Roman" w:cs="Arial"/>
          <w:color w:val="2A2A2A"/>
          <w:lang w:eastAsia="en-ZA"/>
        </w:rPr>
        <w:t>R 39 792 071 000  (5.18%)</w:t>
      </w:r>
    </w:p>
    <w:p w14:paraId="68092151" w14:textId="11B9016D" w:rsidR="00E4567F" w:rsidRPr="00E4567F" w:rsidRDefault="00E4567F" w:rsidP="00E4567F">
      <w:pPr>
        <w:numPr>
          <w:ilvl w:val="0"/>
          <w:numId w:val="11"/>
        </w:numPr>
        <w:tabs>
          <w:tab w:val="clear" w:pos="720"/>
        </w:tabs>
        <w:spacing w:before="120" w:after="120"/>
        <w:ind w:left="397" w:hanging="284"/>
        <w:jc w:val="both"/>
        <w:rPr>
          <w:rFonts w:eastAsia="Times New Roman" w:cs="Arial"/>
          <w:lang w:eastAsia="en-ZA"/>
        </w:rPr>
      </w:pPr>
      <w:r w:rsidRPr="00E4567F">
        <w:rPr>
          <w:rFonts w:eastAsia="Times New Roman" w:cs="Arial"/>
          <w:color w:val="2A2A2A"/>
          <w:lang w:eastAsia="en-ZA"/>
        </w:rPr>
        <w:t>Human Settlements:</w:t>
      </w:r>
      <w:r>
        <w:rPr>
          <w:rFonts w:eastAsia="Times New Roman" w:cs="Arial"/>
          <w:color w:val="2A2A2A"/>
          <w:lang w:eastAsia="en-ZA"/>
        </w:rPr>
        <w:t xml:space="preserve"> </w:t>
      </w:r>
      <w:r w:rsidRPr="00E4567F">
        <w:rPr>
          <w:rFonts w:eastAsia="Times New Roman" w:cs="Arial"/>
          <w:color w:val="2A2A2A"/>
          <w:lang w:eastAsia="en-ZA"/>
        </w:rPr>
        <w:t>R 33 370 485 000 (4.34%)</w:t>
      </w:r>
    </w:p>
    <w:p w14:paraId="414FFC96" w14:textId="017862B5" w:rsidR="00E4567F" w:rsidRPr="00E4567F" w:rsidRDefault="00E4567F" w:rsidP="00E4567F">
      <w:pPr>
        <w:numPr>
          <w:ilvl w:val="0"/>
          <w:numId w:val="11"/>
        </w:numPr>
        <w:tabs>
          <w:tab w:val="clear" w:pos="720"/>
        </w:tabs>
        <w:spacing w:before="120" w:after="120"/>
        <w:ind w:left="397" w:hanging="284"/>
        <w:jc w:val="both"/>
        <w:rPr>
          <w:rFonts w:eastAsia="Times New Roman" w:cs="Arial"/>
          <w:lang w:eastAsia="en-ZA"/>
        </w:rPr>
      </w:pPr>
      <w:r w:rsidRPr="00E4567F">
        <w:rPr>
          <w:rFonts w:eastAsia="Times New Roman" w:cs="Arial"/>
          <w:color w:val="2A2A2A"/>
          <w:lang w:eastAsia="en-ZA"/>
        </w:rPr>
        <w:t>Basic Education:</w:t>
      </w:r>
      <w:r>
        <w:rPr>
          <w:rFonts w:eastAsia="Times New Roman" w:cs="Arial"/>
          <w:color w:val="2A2A2A"/>
          <w:lang w:eastAsia="en-ZA"/>
        </w:rPr>
        <w:t xml:space="preserve"> </w:t>
      </w:r>
      <w:r w:rsidRPr="00E4567F">
        <w:rPr>
          <w:rFonts w:eastAsia="Times New Roman" w:cs="Arial"/>
          <w:color w:val="2A2A2A"/>
          <w:lang w:eastAsia="en-ZA"/>
        </w:rPr>
        <w:t>R 22 931 956 000 (2.98%)</w:t>
      </w:r>
    </w:p>
    <w:p w14:paraId="3499F05E" w14:textId="026F5E66" w:rsidR="00E4567F" w:rsidRPr="00E4567F" w:rsidRDefault="00E4567F" w:rsidP="00E4567F">
      <w:pPr>
        <w:numPr>
          <w:ilvl w:val="0"/>
          <w:numId w:val="11"/>
        </w:numPr>
        <w:tabs>
          <w:tab w:val="clear" w:pos="720"/>
        </w:tabs>
        <w:spacing w:before="120" w:after="120"/>
        <w:ind w:left="397" w:hanging="284"/>
        <w:jc w:val="both"/>
        <w:rPr>
          <w:rFonts w:eastAsia="Times New Roman" w:cs="Arial"/>
          <w:lang w:eastAsia="en-ZA"/>
        </w:rPr>
      </w:pPr>
      <w:r w:rsidRPr="00E4567F">
        <w:rPr>
          <w:rFonts w:eastAsia="Times New Roman" w:cs="Arial"/>
          <w:color w:val="2A2A2A"/>
          <w:lang w:eastAsia="en-ZA"/>
        </w:rPr>
        <w:t>Correctional Services:</w:t>
      </w:r>
      <w:r>
        <w:rPr>
          <w:rFonts w:eastAsia="Times New Roman" w:cs="Arial"/>
          <w:color w:val="2A2A2A"/>
          <w:lang w:eastAsia="en-ZA"/>
        </w:rPr>
        <w:t xml:space="preserve"> </w:t>
      </w:r>
      <w:r w:rsidRPr="00E4567F">
        <w:rPr>
          <w:rFonts w:eastAsia="Times New Roman" w:cs="Arial"/>
          <w:color w:val="2A2A2A"/>
          <w:lang w:eastAsia="en-ZA"/>
        </w:rPr>
        <w:t>R 22 788 578 000 (2.96%)</w:t>
      </w:r>
    </w:p>
    <w:p w14:paraId="10A712E1" w14:textId="05851BB8" w:rsidR="00E4567F" w:rsidRPr="00E4567F" w:rsidRDefault="00E4567F" w:rsidP="00E4567F">
      <w:pPr>
        <w:numPr>
          <w:ilvl w:val="0"/>
          <w:numId w:val="11"/>
        </w:numPr>
        <w:tabs>
          <w:tab w:val="clear" w:pos="720"/>
        </w:tabs>
        <w:spacing w:before="120" w:after="120"/>
        <w:ind w:left="397" w:hanging="284"/>
        <w:jc w:val="both"/>
        <w:rPr>
          <w:rFonts w:eastAsia="Times New Roman" w:cs="Arial"/>
          <w:lang w:eastAsia="en-ZA"/>
        </w:rPr>
      </w:pPr>
      <w:r w:rsidRPr="00E4567F">
        <w:rPr>
          <w:rFonts w:eastAsia="Times New Roman" w:cs="Arial"/>
          <w:color w:val="2A2A2A"/>
          <w:lang w:eastAsia="en-ZA"/>
        </w:rPr>
        <w:t>Justice and Constitutional Development:</w:t>
      </w:r>
      <w:r>
        <w:rPr>
          <w:rFonts w:eastAsia="Times New Roman" w:cs="Arial"/>
          <w:color w:val="2A2A2A"/>
          <w:lang w:eastAsia="en-ZA"/>
        </w:rPr>
        <w:t xml:space="preserve"> </w:t>
      </w:r>
      <w:r w:rsidRPr="00E4567F">
        <w:rPr>
          <w:rFonts w:eastAsia="Times New Roman" w:cs="Arial"/>
          <w:color w:val="2A2A2A"/>
          <w:lang w:eastAsia="en-ZA"/>
        </w:rPr>
        <w:t>R 16 607 219 000 (2.16%)</w:t>
      </w:r>
    </w:p>
    <w:p w14:paraId="748BF536" w14:textId="5E850458" w:rsidR="00E4567F" w:rsidRPr="00E4567F" w:rsidRDefault="00E4567F" w:rsidP="00E4567F">
      <w:pPr>
        <w:numPr>
          <w:ilvl w:val="0"/>
          <w:numId w:val="11"/>
        </w:numPr>
        <w:tabs>
          <w:tab w:val="clear" w:pos="720"/>
        </w:tabs>
        <w:spacing w:before="120" w:after="120"/>
        <w:ind w:left="397" w:hanging="284"/>
        <w:jc w:val="both"/>
        <w:rPr>
          <w:rFonts w:eastAsia="Times New Roman" w:cs="Arial"/>
          <w:lang w:eastAsia="en-ZA"/>
        </w:rPr>
      </w:pPr>
      <w:r w:rsidRPr="00E4567F">
        <w:rPr>
          <w:rFonts w:eastAsia="Times New Roman" w:cs="Arial"/>
          <w:color w:val="2A2A2A"/>
          <w:lang w:eastAsia="en-ZA"/>
        </w:rPr>
        <w:t>Water and Sanitation:</w:t>
      </w:r>
      <w:r>
        <w:rPr>
          <w:rFonts w:eastAsia="Times New Roman" w:cs="Arial"/>
          <w:color w:val="2A2A2A"/>
          <w:lang w:eastAsia="en-ZA"/>
        </w:rPr>
        <w:t xml:space="preserve"> </w:t>
      </w:r>
      <w:r w:rsidRPr="00E4567F">
        <w:rPr>
          <w:rFonts w:eastAsia="Times New Roman" w:cs="Arial"/>
          <w:color w:val="2A2A2A"/>
          <w:lang w:eastAsia="en-ZA"/>
        </w:rPr>
        <w:t>R 15 106 238 000 (1.96%)</w:t>
      </w:r>
    </w:p>
    <w:p w14:paraId="384B10A7" w14:textId="300492C3" w:rsidR="00E4567F" w:rsidRPr="00E4567F" w:rsidRDefault="00E4567F" w:rsidP="00E4567F">
      <w:pPr>
        <w:numPr>
          <w:ilvl w:val="0"/>
          <w:numId w:val="11"/>
        </w:numPr>
        <w:tabs>
          <w:tab w:val="clear" w:pos="720"/>
        </w:tabs>
        <w:spacing w:before="120" w:after="120"/>
        <w:ind w:left="397" w:hanging="284"/>
        <w:jc w:val="both"/>
        <w:rPr>
          <w:rFonts w:eastAsia="Times New Roman" w:cs="Arial"/>
          <w:lang w:eastAsia="en-ZA"/>
        </w:rPr>
      </w:pPr>
      <w:r w:rsidRPr="00E4567F">
        <w:rPr>
          <w:rFonts w:eastAsia="Times New Roman" w:cs="Arial"/>
          <w:color w:val="2A2A2A"/>
          <w:lang w:eastAsia="en-ZA"/>
        </w:rPr>
        <w:t>Rural Development and Land Reform:</w:t>
      </w:r>
      <w:r>
        <w:rPr>
          <w:rFonts w:eastAsia="Times New Roman" w:cs="Arial"/>
          <w:color w:val="2A2A2A"/>
          <w:lang w:eastAsia="en-ZA"/>
        </w:rPr>
        <w:t xml:space="preserve"> </w:t>
      </w:r>
      <w:r w:rsidRPr="00E4567F">
        <w:rPr>
          <w:rFonts w:eastAsia="Times New Roman" w:cs="Arial"/>
          <w:color w:val="2A2A2A"/>
          <w:lang w:eastAsia="en-ZA"/>
        </w:rPr>
        <w:t>R 9 730 181 000 (1.27%)</w:t>
      </w:r>
    </w:p>
    <w:p w14:paraId="32CAB035" w14:textId="3A7F07B3" w:rsidR="00E4567F" w:rsidRPr="00E4567F" w:rsidRDefault="00E4567F" w:rsidP="00E4567F">
      <w:pPr>
        <w:numPr>
          <w:ilvl w:val="0"/>
          <w:numId w:val="11"/>
        </w:numPr>
        <w:tabs>
          <w:tab w:val="clear" w:pos="720"/>
        </w:tabs>
        <w:spacing w:before="120" w:after="120"/>
        <w:ind w:left="397" w:hanging="284"/>
        <w:jc w:val="both"/>
        <w:rPr>
          <w:rFonts w:eastAsia="Times New Roman" w:cs="Arial"/>
          <w:lang w:eastAsia="en-ZA"/>
        </w:rPr>
      </w:pPr>
      <w:r w:rsidRPr="00E4567F">
        <w:rPr>
          <w:rFonts w:eastAsia="Times New Roman" w:cs="Arial"/>
          <w:color w:val="2A2A2A"/>
          <w:lang w:eastAsia="en-ZA"/>
        </w:rPr>
        <w:t>Trade and Industry:</w:t>
      </w:r>
      <w:r>
        <w:rPr>
          <w:rFonts w:eastAsia="Times New Roman" w:cs="Arial"/>
          <w:color w:val="2A2A2A"/>
          <w:lang w:eastAsia="en-ZA"/>
        </w:rPr>
        <w:t xml:space="preserve"> </w:t>
      </w:r>
      <w:r w:rsidRPr="00E4567F">
        <w:rPr>
          <w:rFonts w:eastAsia="Times New Roman" w:cs="Arial"/>
          <w:color w:val="2A2A2A"/>
          <w:lang w:eastAsia="en-ZA"/>
        </w:rPr>
        <w:t>R 9 248 248 000 (1.20%)</w:t>
      </w:r>
    </w:p>
    <w:p w14:paraId="24D6BD6B" w14:textId="36573518" w:rsidR="00E4567F" w:rsidRPr="00E4567F" w:rsidRDefault="00E4567F" w:rsidP="00E4567F">
      <w:pPr>
        <w:numPr>
          <w:ilvl w:val="0"/>
          <w:numId w:val="11"/>
        </w:numPr>
        <w:tabs>
          <w:tab w:val="clear" w:pos="720"/>
        </w:tabs>
        <w:spacing w:before="120" w:after="120"/>
        <w:ind w:left="397" w:hanging="284"/>
        <w:jc w:val="both"/>
        <w:rPr>
          <w:rFonts w:eastAsia="Times New Roman" w:cs="Arial"/>
          <w:lang w:eastAsia="en-ZA"/>
        </w:rPr>
      </w:pPr>
      <w:r w:rsidRPr="00E4567F">
        <w:rPr>
          <w:rFonts w:eastAsia="Times New Roman" w:cs="Arial"/>
          <w:color w:val="2A2A2A"/>
          <w:lang w:eastAsia="en-ZA"/>
        </w:rPr>
        <w:t>Home Affairs:</w:t>
      </w:r>
      <w:r>
        <w:rPr>
          <w:rFonts w:eastAsia="Times New Roman" w:cs="Arial"/>
          <w:color w:val="2A2A2A"/>
          <w:lang w:eastAsia="en-ZA"/>
        </w:rPr>
        <w:t xml:space="preserve"> </w:t>
      </w:r>
      <w:r w:rsidRPr="00E4567F">
        <w:rPr>
          <w:rFonts w:eastAsia="Times New Roman" w:cs="Arial"/>
          <w:color w:val="2A2A2A"/>
          <w:lang w:eastAsia="en-ZA"/>
        </w:rPr>
        <w:t>R 8 401 679 000  (1.09%)</w:t>
      </w:r>
    </w:p>
    <w:p w14:paraId="5D2D7561" w14:textId="4A9CB61B" w:rsidR="00E4567F" w:rsidRPr="00E4567F" w:rsidRDefault="00E4567F" w:rsidP="00E4567F">
      <w:pPr>
        <w:numPr>
          <w:ilvl w:val="0"/>
          <w:numId w:val="11"/>
        </w:numPr>
        <w:tabs>
          <w:tab w:val="clear" w:pos="720"/>
        </w:tabs>
        <w:spacing w:before="120" w:after="120"/>
        <w:ind w:left="397" w:hanging="284"/>
        <w:jc w:val="both"/>
        <w:rPr>
          <w:rFonts w:eastAsia="Times New Roman" w:cs="Arial"/>
          <w:lang w:eastAsia="en-ZA"/>
        </w:rPr>
      </w:pPr>
      <w:r w:rsidRPr="00E4567F">
        <w:rPr>
          <w:rFonts w:eastAsia="Times New Roman" w:cs="Arial"/>
          <w:color w:val="2A2A2A"/>
          <w:lang w:eastAsia="en-ZA"/>
        </w:rPr>
        <w:t>Energy:</w:t>
      </w:r>
      <w:r>
        <w:rPr>
          <w:rFonts w:eastAsia="Times New Roman" w:cs="Arial"/>
          <w:color w:val="2A2A2A"/>
          <w:lang w:eastAsia="en-ZA"/>
        </w:rPr>
        <w:t xml:space="preserve"> </w:t>
      </w:r>
      <w:r w:rsidRPr="00E4567F">
        <w:rPr>
          <w:rFonts w:eastAsia="Times New Roman" w:cs="Arial"/>
          <w:color w:val="2A2A2A"/>
          <w:lang w:eastAsia="en-ZA"/>
        </w:rPr>
        <w:t>R 7 944 647 000   (1.03%)</w:t>
      </w:r>
    </w:p>
    <w:p w14:paraId="33FCFD54" w14:textId="79030239" w:rsidR="00E4567F" w:rsidRPr="00E4567F" w:rsidRDefault="00E4567F" w:rsidP="00E4567F">
      <w:pPr>
        <w:numPr>
          <w:ilvl w:val="0"/>
          <w:numId w:val="11"/>
        </w:numPr>
        <w:tabs>
          <w:tab w:val="clear" w:pos="720"/>
        </w:tabs>
        <w:spacing w:before="120" w:after="120"/>
        <w:ind w:left="397" w:hanging="284"/>
        <w:jc w:val="both"/>
        <w:rPr>
          <w:rFonts w:eastAsia="Times New Roman" w:cs="Arial"/>
          <w:lang w:eastAsia="en-ZA"/>
        </w:rPr>
      </w:pPr>
      <w:r w:rsidRPr="00E4567F">
        <w:rPr>
          <w:rFonts w:eastAsia="Times New Roman" w:cs="Arial"/>
          <w:color w:val="2A2A2A"/>
          <w:lang w:eastAsia="en-ZA"/>
        </w:rPr>
        <w:t>Science and Technology:</w:t>
      </w:r>
      <w:r>
        <w:rPr>
          <w:rFonts w:eastAsia="Times New Roman" w:cs="Arial"/>
          <w:color w:val="2A2A2A"/>
          <w:lang w:eastAsia="en-ZA"/>
        </w:rPr>
        <w:t xml:space="preserve"> </w:t>
      </w:r>
      <w:r w:rsidRPr="00E4567F">
        <w:rPr>
          <w:rFonts w:eastAsia="Times New Roman" w:cs="Arial"/>
          <w:color w:val="2A2A2A"/>
          <w:lang w:eastAsia="en-ZA"/>
        </w:rPr>
        <w:t>R 7 489 545 000  (0.97%)</w:t>
      </w:r>
    </w:p>
    <w:p w14:paraId="0B8F595C" w14:textId="03792B70" w:rsidR="00E4567F" w:rsidRPr="00E4567F" w:rsidRDefault="00E4567F" w:rsidP="00E4567F">
      <w:pPr>
        <w:numPr>
          <w:ilvl w:val="0"/>
          <w:numId w:val="11"/>
        </w:numPr>
        <w:tabs>
          <w:tab w:val="clear" w:pos="720"/>
        </w:tabs>
        <w:spacing w:before="120" w:after="120"/>
        <w:ind w:left="397" w:hanging="284"/>
        <w:jc w:val="both"/>
        <w:rPr>
          <w:rFonts w:eastAsia="Times New Roman" w:cs="Arial"/>
          <w:lang w:eastAsia="en-ZA"/>
        </w:rPr>
      </w:pPr>
      <w:r w:rsidRPr="00E4567F">
        <w:rPr>
          <w:rFonts w:eastAsia="Times New Roman" w:cs="Arial"/>
          <w:color w:val="2A2A2A"/>
          <w:lang w:eastAsia="en-ZA"/>
        </w:rPr>
        <w:t>Public Works:</w:t>
      </w:r>
      <w:r>
        <w:rPr>
          <w:rFonts w:eastAsia="Times New Roman" w:cs="Arial"/>
          <w:color w:val="2A2A2A"/>
          <w:lang w:eastAsia="en-ZA"/>
        </w:rPr>
        <w:t xml:space="preserve"> </w:t>
      </w:r>
      <w:r w:rsidRPr="00E4567F">
        <w:rPr>
          <w:rFonts w:eastAsia="Times New Roman" w:cs="Arial"/>
          <w:color w:val="2A2A2A"/>
          <w:lang w:eastAsia="en-ZA"/>
        </w:rPr>
        <w:t>R 6 927 287 000 (0.90%)</w:t>
      </w:r>
    </w:p>
    <w:p w14:paraId="1563C9BC" w14:textId="5A841C5C" w:rsidR="00E4567F" w:rsidRPr="00E4567F" w:rsidRDefault="00E4567F" w:rsidP="00E4567F">
      <w:pPr>
        <w:numPr>
          <w:ilvl w:val="0"/>
          <w:numId w:val="11"/>
        </w:numPr>
        <w:tabs>
          <w:tab w:val="clear" w:pos="720"/>
        </w:tabs>
        <w:spacing w:before="120" w:after="120"/>
        <w:ind w:left="397" w:hanging="284"/>
        <w:jc w:val="both"/>
        <w:rPr>
          <w:rFonts w:eastAsia="Times New Roman" w:cs="Arial"/>
          <w:lang w:eastAsia="en-ZA"/>
        </w:rPr>
      </w:pPr>
      <w:r w:rsidRPr="00E4567F">
        <w:rPr>
          <w:rFonts w:eastAsia="Times New Roman" w:cs="Arial"/>
          <w:color w:val="2A2A2A"/>
          <w:lang w:eastAsia="en-ZA"/>
        </w:rPr>
        <w:t>Agriculture, Forestry and Fisheries:</w:t>
      </w:r>
      <w:r>
        <w:rPr>
          <w:rFonts w:eastAsia="Times New Roman" w:cs="Arial"/>
          <w:color w:val="2A2A2A"/>
          <w:lang w:eastAsia="en-ZA"/>
        </w:rPr>
        <w:t xml:space="preserve"> </w:t>
      </w:r>
      <w:r w:rsidRPr="00E4567F">
        <w:rPr>
          <w:rFonts w:eastAsia="Times New Roman" w:cs="Arial"/>
          <w:color w:val="2A2A2A"/>
          <w:lang w:eastAsia="en-ZA"/>
        </w:rPr>
        <w:t>R 6 728 132 000 (0.88%)</w:t>
      </w:r>
    </w:p>
    <w:p w14:paraId="303EE453" w14:textId="1940E9DD" w:rsidR="00E4567F" w:rsidRPr="00E4567F" w:rsidRDefault="00E4567F" w:rsidP="00E4567F">
      <w:pPr>
        <w:numPr>
          <w:ilvl w:val="0"/>
          <w:numId w:val="11"/>
        </w:numPr>
        <w:tabs>
          <w:tab w:val="clear" w:pos="720"/>
        </w:tabs>
        <w:spacing w:before="120" w:after="120"/>
        <w:ind w:left="397" w:hanging="284"/>
        <w:jc w:val="both"/>
        <w:rPr>
          <w:rFonts w:eastAsia="Times New Roman" w:cs="Arial"/>
          <w:lang w:eastAsia="en-ZA"/>
        </w:rPr>
      </w:pPr>
      <w:r w:rsidRPr="00E4567F">
        <w:rPr>
          <w:rFonts w:eastAsia="Times New Roman" w:cs="Arial"/>
          <w:color w:val="2A2A2A"/>
          <w:lang w:eastAsia="en-ZA"/>
        </w:rPr>
        <w:t>Environmental Affairs:</w:t>
      </w:r>
      <w:r>
        <w:rPr>
          <w:rFonts w:eastAsia="Times New Roman" w:cs="Arial"/>
          <w:color w:val="2A2A2A"/>
          <w:lang w:eastAsia="en-ZA"/>
        </w:rPr>
        <w:t xml:space="preserve"> </w:t>
      </w:r>
      <w:r w:rsidRPr="00E4567F">
        <w:rPr>
          <w:rFonts w:eastAsia="Times New Roman" w:cs="Arial"/>
          <w:color w:val="2A2A2A"/>
          <w:lang w:eastAsia="en-ZA"/>
        </w:rPr>
        <w:t>R 6 590 137 000  (0.86%)</w:t>
      </w:r>
    </w:p>
    <w:p w14:paraId="77CA1260" w14:textId="6A588119" w:rsidR="00E4567F" w:rsidRPr="00E4567F" w:rsidRDefault="00E4567F" w:rsidP="00E4567F">
      <w:pPr>
        <w:numPr>
          <w:ilvl w:val="0"/>
          <w:numId w:val="11"/>
        </w:numPr>
        <w:tabs>
          <w:tab w:val="clear" w:pos="720"/>
        </w:tabs>
        <w:spacing w:before="120" w:after="120"/>
        <w:ind w:left="397" w:hanging="284"/>
        <w:jc w:val="both"/>
        <w:rPr>
          <w:rFonts w:eastAsia="Times New Roman" w:cs="Arial"/>
          <w:lang w:eastAsia="en-ZA"/>
        </w:rPr>
      </w:pPr>
      <w:r w:rsidRPr="00E4567F">
        <w:rPr>
          <w:rFonts w:eastAsia="Times New Roman" w:cs="Arial"/>
          <w:color w:val="2A2A2A"/>
          <w:lang w:eastAsia="en-ZA"/>
        </w:rPr>
        <w:t>International Relations and Cooperation:</w:t>
      </w:r>
      <w:r>
        <w:rPr>
          <w:rFonts w:eastAsia="Times New Roman" w:cs="Arial"/>
          <w:color w:val="2A2A2A"/>
          <w:lang w:eastAsia="en-ZA"/>
        </w:rPr>
        <w:t xml:space="preserve"> </w:t>
      </w:r>
      <w:r w:rsidRPr="00E4567F">
        <w:rPr>
          <w:rFonts w:eastAsia="Times New Roman" w:cs="Arial"/>
          <w:color w:val="2A2A2A"/>
          <w:lang w:eastAsia="en-ZA"/>
        </w:rPr>
        <w:t>R 5 996 856 000  (0.78%)</w:t>
      </w:r>
    </w:p>
    <w:p w14:paraId="1E2FDEFE" w14:textId="605D96AA" w:rsidR="00E4567F" w:rsidRPr="00E4567F" w:rsidRDefault="00E4567F" w:rsidP="00E4567F">
      <w:pPr>
        <w:numPr>
          <w:ilvl w:val="0"/>
          <w:numId w:val="11"/>
        </w:numPr>
        <w:tabs>
          <w:tab w:val="clear" w:pos="720"/>
        </w:tabs>
        <w:spacing w:before="120" w:after="120"/>
        <w:ind w:left="397" w:hanging="284"/>
        <w:jc w:val="both"/>
        <w:rPr>
          <w:rFonts w:eastAsia="Times New Roman" w:cs="Arial"/>
          <w:lang w:eastAsia="en-ZA"/>
        </w:rPr>
      </w:pPr>
      <w:r w:rsidRPr="00E4567F">
        <w:rPr>
          <w:rFonts w:eastAsia="Times New Roman" w:cs="Arial"/>
          <w:color w:val="2A2A2A"/>
          <w:lang w:eastAsia="en-ZA"/>
        </w:rPr>
        <w:t>Telecommunications and Postal Services:</w:t>
      </w:r>
      <w:r>
        <w:rPr>
          <w:rFonts w:eastAsia="Times New Roman" w:cs="Arial"/>
          <w:color w:val="2A2A2A"/>
          <w:lang w:eastAsia="en-ZA"/>
        </w:rPr>
        <w:t xml:space="preserve"> </w:t>
      </w:r>
      <w:r w:rsidRPr="00E4567F">
        <w:rPr>
          <w:rFonts w:eastAsia="Times New Roman" w:cs="Arial"/>
          <w:color w:val="2A2A2A"/>
          <w:lang w:eastAsia="en-ZA"/>
        </w:rPr>
        <w:t>R 4 892 055 000  (0.64%)</w:t>
      </w:r>
    </w:p>
    <w:p w14:paraId="2D8A8254" w14:textId="0169D7E5" w:rsidR="00E4567F" w:rsidRPr="00E4567F" w:rsidRDefault="00E4567F" w:rsidP="00E4567F">
      <w:pPr>
        <w:numPr>
          <w:ilvl w:val="0"/>
          <w:numId w:val="11"/>
        </w:numPr>
        <w:tabs>
          <w:tab w:val="clear" w:pos="720"/>
        </w:tabs>
        <w:spacing w:before="120" w:after="120"/>
        <w:ind w:left="397" w:hanging="284"/>
        <w:jc w:val="both"/>
        <w:rPr>
          <w:rFonts w:eastAsia="Times New Roman" w:cs="Arial"/>
          <w:lang w:eastAsia="en-ZA"/>
        </w:rPr>
      </w:pPr>
      <w:r w:rsidRPr="00E4567F">
        <w:rPr>
          <w:rFonts w:eastAsia="Times New Roman" w:cs="Arial"/>
          <w:color w:val="2A2A2A"/>
          <w:lang w:eastAsia="en-ZA"/>
        </w:rPr>
        <w:t>Arts and Culture:</w:t>
      </w:r>
      <w:r>
        <w:rPr>
          <w:rFonts w:eastAsia="Times New Roman" w:cs="Arial"/>
          <w:color w:val="2A2A2A"/>
          <w:lang w:eastAsia="en-ZA"/>
        </w:rPr>
        <w:t xml:space="preserve"> </w:t>
      </w:r>
      <w:r w:rsidRPr="00E4567F">
        <w:rPr>
          <w:rFonts w:eastAsia="Times New Roman" w:cs="Arial"/>
          <w:color w:val="2A2A2A"/>
          <w:lang w:eastAsia="en-ZA"/>
        </w:rPr>
        <w:t>R 4 141 480 000 (0.54%)</w:t>
      </w:r>
    </w:p>
    <w:p w14:paraId="35B69201" w14:textId="548C2164" w:rsidR="00E4567F" w:rsidRPr="00E4567F" w:rsidRDefault="00E4567F" w:rsidP="00E4567F">
      <w:pPr>
        <w:numPr>
          <w:ilvl w:val="0"/>
          <w:numId w:val="11"/>
        </w:numPr>
        <w:tabs>
          <w:tab w:val="clear" w:pos="720"/>
        </w:tabs>
        <w:spacing w:before="120" w:after="120"/>
        <w:ind w:left="397" w:hanging="284"/>
        <w:jc w:val="both"/>
        <w:rPr>
          <w:rFonts w:eastAsia="Times New Roman" w:cs="Arial"/>
          <w:lang w:eastAsia="en-ZA"/>
        </w:rPr>
      </w:pPr>
      <w:r w:rsidRPr="00E4567F">
        <w:rPr>
          <w:rFonts w:eastAsia="Times New Roman" w:cs="Arial"/>
          <w:color w:val="2A2A2A"/>
          <w:lang w:eastAsia="en-ZA"/>
        </w:rPr>
        <w:t>Labour:</w:t>
      </w:r>
      <w:r>
        <w:rPr>
          <w:rFonts w:eastAsia="Times New Roman" w:cs="Arial"/>
          <w:color w:val="2A2A2A"/>
          <w:lang w:eastAsia="en-ZA"/>
        </w:rPr>
        <w:t xml:space="preserve"> </w:t>
      </w:r>
      <w:r w:rsidRPr="00E4567F">
        <w:rPr>
          <w:rFonts w:eastAsia="Times New Roman" w:cs="Arial"/>
          <w:color w:val="2A2A2A"/>
          <w:lang w:eastAsia="en-ZA"/>
        </w:rPr>
        <w:t>R 2 844 019 000  (0.37%)</w:t>
      </w:r>
    </w:p>
    <w:p w14:paraId="380C00C3" w14:textId="1EE9D1D2" w:rsidR="00E4567F" w:rsidRPr="00E4567F" w:rsidRDefault="00E4567F" w:rsidP="00E4567F">
      <w:pPr>
        <w:numPr>
          <w:ilvl w:val="0"/>
          <w:numId w:val="11"/>
        </w:numPr>
        <w:tabs>
          <w:tab w:val="clear" w:pos="720"/>
        </w:tabs>
        <w:spacing w:before="120" w:after="120"/>
        <w:ind w:left="397" w:hanging="284"/>
        <w:jc w:val="both"/>
        <w:rPr>
          <w:rFonts w:eastAsia="Times New Roman" w:cs="Arial"/>
          <w:lang w:eastAsia="en-ZA"/>
        </w:rPr>
      </w:pPr>
      <w:r w:rsidRPr="00E4567F">
        <w:rPr>
          <w:rFonts w:eastAsia="Times New Roman" w:cs="Arial"/>
          <w:color w:val="2A2A2A"/>
          <w:lang w:eastAsia="en-ZA"/>
        </w:rPr>
        <w:t>Statistics South Africa:</w:t>
      </w:r>
      <w:r>
        <w:rPr>
          <w:rFonts w:eastAsia="Times New Roman" w:cs="Arial"/>
          <w:color w:val="2A2A2A"/>
          <w:lang w:eastAsia="en-ZA"/>
        </w:rPr>
        <w:t xml:space="preserve"> </w:t>
      </w:r>
      <w:r w:rsidRPr="00E4567F">
        <w:rPr>
          <w:rFonts w:eastAsia="Times New Roman" w:cs="Arial"/>
          <w:color w:val="2A2A2A"/>
          <w:lang w:eastAsia="en-ZA"/>
        </w:rPr>
        <w:t>R 2 195 519 000  (0.29%)</w:t>
      </w:r>
    </w:p>
    <w:p w14:paraId="3F860EDC" w14:textId="0B233817" w:rsidR="00E4567F" w:rsidRPr="00E4567F" w:rsidRDefault="00E4567F" w:rsidP="00E4567F">
      <w:pPr>
        <w:numPr>
          <w:ilvl w:val="0"/>
          <w:numId w:val="11"/>
        </w:numPr>
        <w:tabs>
          <w:tab w:val="clear" w:pos="720"/>
        </w:tabs>
        <w:spacing w:before="120" w:after="120"/>
        <w:ind w:left="397" w:hanging="284"/>
        <w:jc w:val="both"/>
        <w:rPr>
          <w:rFonts w:eastAsia="Times New Roman" w:cs="Arial"/>
          <w:lang w:eastAsia="en-ZA"/>
        </w:rPr>
      </w:pPr>
      <w:r w:rsidRPr="00E4567F">
        <w:rPr>
          <w:rFonts w:eastAsia="Times New Roman" w:cs="Arial"/>
          <w:color w:val="2A2A2A"/>
          <w:lang w:eastAsia="en-ZA"/>
        </w:rPr>
        <w:t>Tourism:</w:t>
      </w:r>
      <w:r>
        <w:rPr>
          <w:rFonts w:eastAsia="Times New Roman" w:cs="Arial"/>
          <w:color w:val="2A2A2A"/>
          <w:lang w:eastAsia="en-ZA"/>
        </w:rPr>
        <w:t xml:space="preserve"> </w:t>
      </w:r>
      <w:r w:rsidRPr="00E4567F">
        <w:rPr>
          <w:rFonts w:eastAsia="Times New Roman" w:cs="Arial"/>
          <w:color w:val="2A2A2A"/>
          <w:lang w:eastAsia="en-ZA"/>
        </w:rPr>
        <w:t>R 2 133 976 000  (0.28%)</w:t>
      </w:r>
    </w:p>
    <w:p w14:paraId="14F4D57B" w14:textId="612B72D1" w:rsidR="00E4567F" w:rsidRPr="00E4567F" w:rsidRDefault="00E4567F" w:rsidP="00E4567F">
      <w:pPr>
        <w:numPr>
          <w:ilvl w:val="0"/>
          <w:numId w:val="11"/>
        </w:numPr>
        <w:tabs>
          <w:tab w:val="clear" w:pos="720"/>
        </w:tabs>
        <w:spacing w:before="120" w:after="120"/>
        <w:ind w:left="397" w:hanging="284"/>
        <w:jc w:val="both"/>
        <w:rPr>
          <w:rFonts w:eastAsia="Times New Roman" w:cs="Arial"/>
          <w:lang w:eastAsia="en-ZA"/>
        </w:rPr>
      </w:pPr>
      <w:r w:rsidRPr="00E4567F">
        <w:rPr>
          <w:rFonts w:eastAsia="Times New Roman" w:cs="Arial"/>
          <w:color w:val="2A2A2A"/>
          <w:lang w:eastAsia="en-ZA"/>
        </w:rPr>
        <w:t>Mineral Resources:</w:t>
      </w:r>
      <w:r>
        <w:rPr>
          <w:rFonts w:eastAsia="Times New Roman" w:cs="Arial"/>
          <w:color w:val="2A2A2A"/>
          <w:lang w:eastAsia="en-ZA"/>
        </w:rPr>
        <w:t xml:space="preserve"> </w:t>
      </w:r>
      <w:r w:rsidRPr="00E4567F">
        <w:rPr>
          <w:rFonts w:eastAsia="Times New Roman" w:cs="Arial"/>
          <w:color w:val="2A2A2A"/>
          <w:lang w:eastAsia="en-ZA"/>
        </w:rPr>
        <w:t>R 1 776 685 000  (0.23%)</w:t>
      </w:r>
    </w:p>
    <w:p w14:paraId="0FAE9512" w14:textId="5AE0990F" w:rsidR="00E4567F" w:rsidRPr="00E4567F" w:rsidRDefault="00E4567F" w:rsidP="00E4567F">
      <w:pPr>
        <w:numPr>
          <w:ilvl w:val="0"/>
          <w:numId w:val="11"/>
        </w:numPr>
        <w:tabs>
          <w:tab w:val="clear" w:pos="720"/>
        </w:tabs>
        <w:spacing w:before="120" w:after="120"/>
        <w:ind w:left="397" w:hanging="284"/>
        <w:jc w:val="both"/>
        <w:rPr>
          <w:rFonts w:eastAsia="Times New Roman" w:cs="Arial"/>
          <w:lang w:eastAsia="en-ZA"/>
        </w:rPr>
      </w:pPr>
      <w:r w:rsidRPr="00E4567F">
        <w:rPr>
          <w:rFonts w:eastAsia="Times New Roman" w:cs="Arial"/>
          <w:color w:val="2A2A2A"/>
          <w:lang w:eastAsia="en-ZA"/>
        </w:rPr>
        <w:t>Parliament:</w:t>
      </w:r>
      <w:r>
        <w:rPr>
          <w:rFonts w:eastAsia="Times New Roman" w:cs="Arial"/>
          <w:color w:val="2A2A2A"/>
          <w:lang w:eastAsia="en-ZA"/>
        </w:rPr>
        <w:t xml:space="preserve"> </w:t>
      </w:r>
      <w:r w:rsidRPr="00E4567F">
        <w:rPr>
          <w:rFonts w:eastAsia="Times New Roman" w:cs="Arial"/>
          <w:color w:val="2A2A2A"/>
          <w:lang w:eastAsia="en-ZA"/>
        </w:rPr>
        <w:t>R 1 711 947 000  (0.22%)</w:t>
      </w:r>
    </w:p>
    <w:p w14:paraId="37998EA9" w14:textId="755CCC2F" w:rsidR="00E4567F" w:rsidRPr="00E4567F" w:rsidRDefault="00E4567F" w:rsidP="00E4567F">
      <w:pPr>
        <w:numPr>
          <w:ilvl w:val="0"/>
          <w:numId w:val="11"/>
        </w:numPr>
        <w:tabs>
          <w:tab w:val="clear" w:pos="720"/>
        </w:tabs>
        <w:spacing w:before="120" w:after="120"/>
        <w:ind w:left="397" w:hanging="284"/>
        <w:jc w:val="both"/>
        <w:rPr>
          <w:rFonts w:eastAsia="Times New Roman" w:cs="Arial"/>
          <w:lang w:eastAsia="en-ZA"/>
        </w:rPr>
      </w:pPr>
      <w:r w:rsidRPr="00E4567F">
        <w:rPr>
          <w:rFonts w:eastAsia="Times New Roman" w:cs="Arial"/>
          <w:color w:val="2A2A2A"/>
          <w:lang w:eastAsia="en-ZA"/>
        </w:rPr>
        <w:t>Small Business Development:</w:t>
      </w:r>
      <w:r>
        <w:rPr>
          <w:rFonts w:eastAsia="Times New Roman" w:cs="Arial"/>
          <w:color w:val="2A2A2A"/>
          <w:lang w:eastAsia="en-ZA"/>
        </w:rPr>
        <w:t xml:space="preserve"> </w:t>
      </w:r>
      <w:r w:rsidRPr="00E4567F">
        <w:rPr>
          <w:rFonts w:eastAsia="Times New Roman" w:cs="Arial"/>
          <w:color w:val="2A2A2A"/>
          <w:lang w:eastAsia="en-ZA"/>
        </w:rPr>
        <w:t>R 1 459 484 000 (0.19%)</w:t>
      </w:r>
    </w:p>
    <w:p w14:paraId="1902A8F0" w14:textId="04120AF5" w:rsidR="00E4567F" w:rsidRPr="00E4567F" w:rsidRDefault="00E4567F" w:rsidP="00E4567F">
      <w:pPr>
        <w:numPr>
          <w:ilvl w:val="0"/>
          <w:numId w:val="11"/>
        </w:numPr>
        <w:tabs>
          <w:tab w:val="clear" w:pos="720"/>
        </w:tabs>
        <w:spacing w:before="120" w:after="120"/>
        <w:ind w:left="397" w:hanging="284"/>
        <w:jc w:val="both"/>
        <w:rPr>
          <w:rFonts w:eastAsia="Times New Roman" w:cs="Arial"/>
          <w:lang w:eastAsia="en-ZA"/>
        </w:rPr>
      </w:pPr>
      <w:r w:rsidRPr="00E4567F">
        <w:rPr>
          <w:rFonts w:eastAsia="Times New Roman" w:cs="Arial"/>
          <w:color w:val="2A2A2A"/>
          <w:lang w:eastAsia="en-ZA"/>
        </w:rPr>
        <w:t>Communications:</w:t>
      </w:r>
      <w:r>
        <w:rPr>
          <w:rFonts w:eastAsia="Times New Roman" w:cs="Arial"/>
          <w:color w:val="2A2A2A"/>
          <w:lang w:eastAsia="en-ZA"/>
        </w:rPr>
        <w:t xml:space="preserve"> </w:t>
      </w:r>
      <w:r w:rsidRPr="00E4567F">
        <w:rPr>
          <w:rFonts w:eastAsia="Times New Roman" w:cs="Arial"/>
          <w:color w:val="2A2A2A"/>
          <w:lang w:eastAsia="en-ZA"/>
        </w:rPr>
        <w:t>R 1 418 954 000  (0.18%)</w:t>
      </w:r>
    </w:p>
    <w:p w14:paraId="1617B3DD" w14:textId="433B116D" w:rsidR="00E4567F" w:rsidRPr="00E4567F" w:rsidRDefault="00E4567F" w:rsidP="00E4567F">
      <w:pPr>
        <w:numPr>
          <w:ilvl w:val="0"/>
          <w:numId w:val="11"/>
        </w:numPr>
        <w:tabs>
          <w:tab w:val="clear" w:pos="720"/>
        </w:tabs>
        <w:spacing w:before="120" w:after="120"/>
        <w:ind w:left="397" w:hanging="284"/>
        <w:jc w:val="both"/>
        <w:rPr>
          <w:rFonts w:eastAsia="Times New Roman" w:cs="Arial"/>
          <w:lang w:eastAsia="en-ZA"/>
        </w:rPr>
      </w:pPr>
      <w:r w:rsidRPr="00E4567F">
        <w:rPr>
          <w:rFonts w:eastAsia="Times New Roman" w:cs="Arial"/>
          <w:color w:val="2A2A2A"/>
          <w:lang w:eastAsia="en-ZA"/>
        </w:rPr>
        <w:lastRenderedPageBreak/>
        <w:t>Sport and Recreation South Africa:</w:t>
      </w:r>
      <w:r>
        <w:rPr>
          <w:rFonts w:eastAsia="Times New Roman" w:cs="Arial"/>
          <w:color w:val="2A2A2A"/>
          <w:lang w:eastAsia="en-ZA"/>
        </w:rPr>
        <w:t xml:space="preserve"> </w:t>
      </w:r>
      <w:r w:rsidRPr="00E4567F">
        <w:rPr>
          <w:rFonts w:eastAsia="Times New Roman" w:cs="Arial"/>
          <w:color w:val="2A2A2A"/>
          <w:lang w:eastAsia="en-ZA"/>
        </w:rPr>
        <w:t>R 1 060 371 000  (0.14%)</w:t>
      </w:r>
    </w:p>
    <w:p w14:paraId="265BF35D" w14:textId="4C1853D2" w:rsidR="00E4567F" w:rsidRPr="00E4567F" w:rsidRDefault="00E4567F" w:rsidP="00E4567F">
      <w:pPr>
        <w:numPr>
          <w:ilvl w:val="0"/>
          <w:numId w:val="11"/>
        </w:numPr>
        <w:tabs>
          <w:tab w:val="clear" w:pos="720"/>
        </w:tabs>
        <w:spacing w:before="120" w:after="120"/>
        <w:ind w:left="397" w:hanging="284"/>
        <w:jc w:val="both"/>
        <w:rPr>
          <w:rFonts w:eastAsia="Times New Roman" w:cs="Arial"/>
          <w:lang w:eastAsia="en-ZA"/>
        </w:rPr>
      </w:pPr>
      <w:r w:rsidRPr="00E4567F">
        <w:rPr>
          <w:rFonts w:eastAsia="Times New Roman" w:cs="Arial"/>
          <w:color w:val="2A2A2A"/>
          <w:lang w:eastAsia="en-ZA"/>
        </w:rPr>
        <w:t>Office of the Chief Justice and Judicial Administration:</w:t>
      </w:r>
      <w:r>
        <w:rPr>
          <w:rFonts w:eastAsia="Times New Roman" w:cs="Arial"/>
          <w:color w:val="2A2A2A"/>
          <w:lang w:eastAsia="en-ZA"/>
        </w:rPr>
        <w:t xml:space="preserve"> </w:t>
      </w:r>
      <w:r w:rsidRPr="00E4567F">
        <w:rPr>
          <w:rFonts w:eastAsia="Times New Roman" w:cs="Arial"/>
          <w:color w:val="2A2A2A"/>
          <w:lang w:eastAsia="en-ZA"/>
        </w:rPr>
        <w:t>R 997 515 000 (0.13%)</w:t>
      </w:r>
    </w:p>
    <w:p w14:paraId="3093F49A" w14:textId="5C54753B" w:rsidR="00E4567F" w:rsidRPr="00E4567F" w:rsidRDefault="00E4567F" w:rsidP="00E4567F">
      <w:pPr>
        <w:numPr>
          <w:ilvl w:val="0"/>
          <w:numId w:val="11"/>
        </w:numPr>
        <w:tabs>
          <w:tab w:val="clear" w:pos="720"/>
        </w:tabs>
        <w:spacing w:before="120" w:after="120"/>
        <w:ind w:left="397" w:hanging="284"/>
        <w:jc w:val="both"/>
        <w:rPr>
          <w:rFonts w:eastAsia="Times New Roman" w:cs="Arial"/>
          <w:lang w:eastAsia="en-ZA"/>
        </w:rPr>
      </w:pPr>
      <w:r w:rsidRPr="00E4567F">
        <w:rPr>
          <w:rFonts w:eastAsia="Times New Roman" w:cs="Arial"/>
          <w:color w:val="2A2A2A"/>
          <w:lang w:eastAsia="en-ZA"/>
        </w:rPr>
        <w:t>Economic Development:</w:t>
      </w:r>
      <w:r>
        <w:rPr>
          <w:rFonts w:eastAsia="Times New Roman" w:cs="Arial"/>
          <w:color w:val="2A2A2A"/>
          <w:lang w:eastAsia="en-ZA"/>
        </w:rPr>
        <w:t xml:space="preserve"> </w:t>
      </w:r>
      <w:r w:rsidRPr="00E4567F">
        <w:rPr>
          <w:rFonts w:eastAsia="Times New Roman" w:cs="Arial"/>
          <w:color w:val="2A2A2A"/>
          <w:lang w:eastAsia="en-ZA"/>
        </w:rPr>
        <w:t>R 912 050 000  (0.12%)</w:t>
      </w:r>
    </w:p>
    <w:p w14:paraId="371B8C2A" w14:textId="2F223F63" w:rsidR="00E4567F" w:rsidRPr="00E4567F" w:rsidRDefault="00E4567F" w:rsidP="00E4567F">
      <w:pPr>
        <w:numPr>
          <w:ilvl w:val="0"/>
          <w:numId w:val="11"/>
        </w:numPr>
        <w:tabs>
          <w:tab w:val="clear" w:pos="720"/>
        </w:tabs>
        <w:spacing w:before="120" w:after="120"/>
        <w:ind w:left="397" w:hanging="284"/>
        <w:jc w:val="both"/>
        <w:rPr>
          <w:rFonts w:eastAsia="Times New Roman" w:cs="Arial"/>
          <w:lang w:eastAsia="en-ZA"/>
        </w:rPr>
      </w:pPr>
      <w:r w:rsidRPr="00E4567F">
        <w:rPr>
          <w:rFonts w:eastAsia="Times New Roman" w:cs="Arial"/>
          <w:color w:val="2A2A2A"/>
          <w:lang w:eastAsia="en-ZA"/>
        </w:rPr>
        <w:t>Planning, Monitoring and Evaluation:</w:t>
      </w:r>
      <w:r>
        <w:rPr>
          <w:rFonts w:eastAsia="Times New Roman" w:cs="Arial"/>
          <w:color w:val="2A2A2A"/>
          <w:lang w:eastAsia="en-ZA"/>
        </w:rPr>
        <w:t xml:space="preserve"> </w:t>
      </w:r>
      <w:r w:rsidRPr="00E4567F">
        <w:rPr>
          <w:rFonts w:eastAsia="Times New Roman" w:cs="Arial"/>
          <w:color w:val="2A2A2A"/>
          <w:lang w:eastAsia="en-ZA"/>
        </w:rPr>
        <w:t>R 866 838 000  (0.11%)</w:t>
      </w:r>
    </w:p>
    <w:p w14:paraId="36DD0764" w14:textId="4FE68278" w:rsidR="00E4567F" w:rsidRPr="00E4567F" w:rsidRDefault="00E4567F" w:rsidP="00E4567F">
      <w:pPr>
        <w:numPr>
          <w:ilvl w:val="0"/>
          <w:numId w:val="11"/>
        </w:numPr>
        <w:tabs>
          <w:tab w:val="clear" w:pos="720"/>
        </w:tabs>
        <w:spacing w:before="120" w:after="120"/>
        <w:ind w:left="397" w:hanging="284"/>
        <w:jc w:val="both"/>
        <w:rPr>
          <w:rFonts w:eastAsia="Times New Roman" w:cs="Arial"/>
          <w:lang w:eastAsia="en-ZA"/>
        </w:rPr>
      </w:pPr>
      <w:r w:rsidRPr="00E4567F">
        <w:rPr>
          <w:rFonts w:eastAsia="Times New Roman" w:cs="Arial"/>
          <w:color w:val="2A2A2A"/>
          <w:lang w:eastAsia="en-ZA"/>
        </w:rPr>
        <w:t>Public Service and Administration:</w:t>
      </w:r>
      <w:r>
        <w:rPr>
          <w:rFonts w:eastAsia="Times New Roman" w:cs="Arial"/>
          <w:color w:val="2A2A2A"/>
          <w:lang w:eastAsia="en-ZA"/>
        </w:rPr>
        <w:t xml:space="preserve"> </w:t>
      </w:r>
      <w:r w:rsidRPr="00E4567F">
        <w:rPr>
          <w:rFonts w:eastAsia="Times New Roman" w:cs="Arial"/>
          <w:color w:val="2A2A2A"/>
          <w:lang w:eastAsia="en-ZA"/>
        </w:rPr>
        <w:t>R 856 887 000  (0.11%)</w:t>
      </w:r>
    </w:p>
    <w:p w14:paraId="587162E4" w14:textId="592816B3" w:rsidR="00E4567F" w:rsidRPr="00E4567F" w:rsidRDefault="00E4567F" w:rsidP="00E4567F">
      <w:pPr>
        <w:numPr>
          <w:ilvl w:val="0"/>
          <w:numId w:val="11"/>
        </w:numPr>
        <w:tabs>
          <w:tab w:val="clear" w:pos="720"/>
        </w:tabs>
        <w:spacing w:before="120" w:after="120"/>
        <w:ind w:left="397" w:hanging="284"/>
        <w:jc w:val="both"/>
        <w:rPr>
          <w:rFonts w:eastAsia="Times New Roman" w:cs="Arial"/>
          <w:lang w:eastAsia="en-ZA"/>
        </w:rPr>
      </w:pPr>
      <w:r w:rsidRPr="00E4567F">
        <w:rPr>
          <w:rFonts w:eastAsia="Times New Roman" w:cs="Arial"/>
          <w:color w:val="2A2A2A"/>
          <w:lang w:eastAsia="en-ZA"/>
        </w:rPr>
        <w:t>The Presidency:</w:t>
      </w:r>
      <w:r>
        <w:rPr>
          <w:rFonts w:eastAsia="Times New Roman" w:cs="Arial"/>
          <w:color w:val="2A2A2A"/>
          <w:lang w:eastAsia="en-ZA"/>
        </w:rPr>
        <w:t xml:space="preserve"> </w:t>
      </w:r>
      <w:r w:rsidRPr="00E4567F">
        <w:rPr>
          <w:rFonts w:eastAsia="Times New Roman" w:cs="Arial"/>
          <w:color w:val="2A2A2A"/>
          <w:lang w:eastAsia="en-ZA"/>
        </w:rPr>
        <w:t>R 481 525 000  (0.06%)</w:t>
      </w:r>
    </w:p>
    <w:p w14:paraId="10EB9D52" w14:textId="71FBBA73" w:rsidR="00E4567F" w:rsidRPr="00E4567F" w:rsidRDefault="00E4567F" w:rsidP="00E4567F">
      <w:pPr>
        <w:numPr>
          <w:ilvl w:val="0"/>
          <w:numId w:val="11"/>
        </w:numPr>
        <w:tabs>
          <w:tab w:val="clear" w:pos="720"/>
        </w:tabs>
        <w:spacing w:before="120" w:after="120"/>
        <w:ind w:left="397" w:hanging="284"/>
        <w:jc w:val="both"/>
        <w:rPr>
          <w:rFonts w:eastAsia="Times New Roman" w:cs="Arial"/>
          <w:lang w:eastAsia="en-ZA"/>
        </w:rPr>
      </w:pPr>
      <w:r w:rsidRPr="00E4567F">
        <w:rPr>
          <w:rFonts w:eastAsia="Times New Roman" w:cs="Arial"/>
          <w:color w:val="2A2A2A"/>
          <w:lang w:eastAsia="en-ZA"/>
        </w:rPr>
        <w:t>Independent Police Investigative Directorate:</w:t>
      </w:r>
      <w:r>
        <w:rPr>
          <w:rFonts w:eastAsia="Times New Roman" w:cs="Arial"/>
          <w:color w:val="2A2A2A"/>
          <w:lang w:eastAsia="en-ZA"/>
        </w:rPr>
        <w:t xml:space="preserve"> </w:t>
      </w:r>
      <w:r w:rsidRPr="00E4567F">
        <w:rPr>
          <w:rFonts w:eastAsia="Times New Roman" w:cs="Arial"/>
          <w:color w:val="2A2A2A"/>
          <w:lang w:eastAsia="en-ZA"/>
        </w:rPr>
        <w:t>R 255 335 000  (0.03%)</w:t>
      </w:r>
    </w:p>
    <w:p w14:paraId="39FF1A1F" w14:textId="612CBD6B" w:rsidR="00E4567F" w:rsidRPr="00E4567F" w:rsidRDefault="00E4567F" w:rsidP="00E4567F">
      <w:pPr>
        <w:numPr>
          <w:ilvl w:val="0"/>
          <w:numId w:val="11"/>
        </w:numPr>
        <w:tabs>
          <w:tab w:val="clear" w:pos="720"/>
        </w:tabs>
        <w:spacing w:before="120" w:after="120"/>
        <w:ind w:left="397" w:hanging="284"/>
        <w:jc w:val="both"/>
        <w:rPr>
          <w:rFonts w:eastAsia="Times New Roman" w:cs="Arial"/>
          <w:lang w:eastAsia="en-ZA"/>
        </w:rPr>
      </w:pPr>
      <w:r w:rsidRPr="00E4567F">
        <w:rPr>
          <w:rFonts w:eastAsia="Times New Roman" w:cs="Arial"/>
          <w:color w:val="2A2A2A"/>
          <w:lang w:eastAsia="en-ZA"/>
        </w:rPr>
        <w:t>Public Enterprises:</w:t>
      </w:r>
      <w:r>
        <w:rPr>
          <w:rFonts w:eastAsia="Times New Roman" w:cs="Arial"/>
          <w:color w:val="2A2A2A"/>
          <w:lang w:eastAsia="en-ZA"/>
        </w:rPr>
        <w:t xml:space="preserve"> </w:t>
      </w:r>
      <w:r w:rsidRPr="00E4567F">
        <w:rPr>
          <w:rFonts w:eastAsia="Times New Roman" w:cs="Arial"/>
          <w:color w:val="2A2A2A"/>
          <w:lang w:eastAsia="en-ZA"/>
        </w:rPr>
        <w:t>R 250 413 000  (0.03%)</w:t>
      </w:r>
    </w:p>
    <w:p w14:paraId="0A99EE1B" w14:textId="0C6BA497" w:rsidR="00E4567F" w:rsidRPr="00E4567F" w:rsidRDefault="00E4567F" w:rsidP="00E4567F">
      <w:pPr>
        <w:numPr>
          <w:ilvl w:val="0"/>
          <w:numId w:val="11"/>
        </w:numPr>
        <w:tabs>
          <w:tab w:val="clear" w:pos="720"/>
        </w:tabs>
        <w:spacing w:before="120" w:after="120"/>
        <w:ind w:left="397" w:hanging="284"/>
        <w:jc w:val="both"/>
        <w:rPr>
          <w:rFonts w:eastAsia="Times New Roman" w:cs="Arial"/>
          <w:lang w:eastAsia="en-ZA"/>
        </w:rPr>
      </w:pPr>
      <w:r w:rsidRPr="00E4567F">
        <w:rPr>
          <w:rFonts w:eastAsia="Times New Roman" w:cs="Arial"/>
          <w:color w:val="2A2A2A"/>
          <w:lang w:eastAsia="en-ZA"/>
        </w:rPr>
        <w:t>Women:</w:t>
      </w:r>
      <w:r>
        <w:rPr>
          <w:rFonts w:eastAsia="Times New Roman" w:cs="Arial"/>
          <w:color w:val="2A2A2A"/>
          <w:lang w:eastAsia="en-ZA"/>
        </w:rPr>
        <w:t xml:space="preserve"> </w:t>
      </w:r>
      <w:r w:rsidRPr="00E4567F">
        <w:rPr>
          <w:rFonts w:eastAsia="Times New Roman" w:cs="Arial"/>
          <w:color w:val="2A2A2A"/>
          <w:lang w:eastAsia="en-ZA"/>
        </w:rPr>
        <w:t>R 204 707 000  (0.03%)</w:t>
      </w:r>
    </w:p>
    <w:p w14:paraId="4E50494A" w14:textId="77777777" w:rsidR="00E4567F" w:rsidRPr="00E4567F" w:rsidRDefault="00E4567F" w:rsidP="00E4567F">
      <w:pPr>
        <w:spacing w:before="120" w:after="120"/>
        <w:jc w:val="both"/>
        <w:rPr>
          <w:rFonts w:eastAsia="Times New Roman" w:cs="Arial"/>
          <w:lang w:eastAsia="en-ZA"/>
        </w:rPr>
      </w:pPr>
      <w:r w:rsidRPr="00E4567F">
        <w:rPr>
          <w:rFonts w:eastAsia="Times New Roman" w:cs="Arial"/>
          <w:color w:val="2A2A2A"/>
          <w:lang w:eastAsia="en-ZA"/>
        </w:rPr>
        <w:br/>
        <w:t>So the Department with by far the biggest budget and spending is Social Development,  followed by Police and then Cooperative governance and traditional affairs (department responsible for funding municipalities). Surprisingly is the size of the budget for Higher Education and Training as well as Basic Education. One would have expected with the focus on education in South Africa that these departments would be receiving a bigger part of the spending pie. Another surprise is the department of Health coming in in 7th place. With the shocking state of public hospitals and clinics one would have expected their budgets to be larger too to address the issues they currently face.</w:t>
      </w:r>
    </w:p>
    <w:p w14:paraId="791880A9" w14:textId="6D592B3B" w:rsidR="00E4567F" w:rsidRPr="00E4567F" w:rsidRDefault="00E4567F" w:rsidP="00E4567F">
      <w:pPr>
        <w:spacing w:before="120" w:after="120"/>
        <w:jc w:val="both"/>
        <w:outlineLvl w:val="1"/>
        <w:rPr>
          <w:rFonts w:eastAsia="Times New Roman" w:cs="Arial"/>
          <w:b/>
          <w:bCs/>
          <w:lang w:eastAsia="en-ZA"/>
        </w:rPr>
      </w:pPr>
      <w:r w:rsidRPr="00E4567F">
        <w:rPr>
          <w:rFonts w:eastAsia="Times New Roman" w:cs="Arial"/>
          <w:b/>
          <w:bCs/>
          <w:lang w:eastAsia="en-ZA"/>
        </w:rPr>
        <w:t>6 May 2019: Who owns SA</w:t>
      </w:r>
      <w:r w:rsidR="00FA1C1A">
        <w:rPr>
          <w:rFonts w:eastAsia="Times New Roman" w:cs="Arial"/>
          <w:b/>
          <w:bCs/>
          <w:lang w:eastAsia="en-ZA"/>
        </w:rPr>
        <w:t>’</w:t>
      </w:r>
      <w:r w:rsidRPr="00E4567F">
        <w:rPr>
          <w:rFonts w:eastAsia="Times New Roman" w:cs="Arial"/>
          <w:b/>
          <w:bCs/>
          <w:lang w:eastAsia="en-ZA"/>
        </w:rPr>
        <w:t>s government bonds?</w:t>
      </w:r>
    </w:p>
    <w:p w14:paraId="3C0CB8FF" w14:textId="706D6ED3" w:rsidR="00E4567F" w:rsidRPr="00E4567F" w:rsidRDefault="00E4567F" w:rsidP="00E4567F">
      <w:pPr>
        <w:spacing w:before="120" w:after="120"/>
        <w:jc w:val="both"/>
        <w:rPr>
          <w:rFonts w:eastAsia="Times New Roman" w:cs="Arial"/>
          <w:lang w:eastAsia="en-ZA"/>
        </w:rPr>
      </w:pPr>
      <w:r w:rsidRPr="00E4567F">
        <w:rPr>
          <w:rFonts w:eastAsia="Times New Roman" w:cs="Arial"/>
          <w:color w:val="2A2A2A"/>
          <w:lang w:eastAsia="en-ZA"/>
        </w:rPr>
        <w:t>Fiscal policy essentially refers to government finances. This includes income earned from taxes, bonds issued when government needs to borrow money and of course government spending plans. So the question is who holds the bonds the SA government issues when it wants/ needs to borrow money to finance it</w:t>
      </w:r>
      <w:r w:rsidR="00FA1C1A">
        <w:rPr>
          <w:rFonts w:eastAsia="Times New Roman" w:cs="Arial"/>
          <w:color w:val="2A2A2A"/>
          <w:lang w:eastAsia="en-ZA"/>
        </w:rPr>
        <w:t>’</w:t>
      </w:r>
      <w:r w:rsidRPr="00E4567F">
        <w:rPr>
          <w:rFonts w:eastAsia="Times New Roman" w:cs="Arial"/>
          <w:color w:val="2A2A2A"/>
          <w:lang w:eastAsia="en-ZA"/>
        </w:rPr>
        <w:t>s expenditure plans? The latest data issued by the National Treasury shows the total value of fixed rate government bonds held by various sectors:</w:t>
      </w:r>
    </w:p>
    <w:p w14:paraId="4F21F42A" w14:textId="77777777" w:rsidR="00E4567F" w:rsidRPr="00E4567F" w:rsidRDefault="00E4567F" w:rsidP="00E4567F">
      <w:pPr>
        <w:numPr>
          <w:ilvl w:val="0"/>
          <w:numId w:val="12"/>
        </w:numPr>
        <w:tabs>
          <w:tab w:val="clear" w:pos="720"/>
        </w:tabs>
        <w:spacing w:before="120" w:after="120"/>
        <w:ind w:left="397" w:hanging="284"/>
        <w:jc w:val="both"/>
        <w:rPr>
          <w:rFonts w:eastAsia="Times New Roman" w:cs="Arial"/>
          <w:lang w:eastAsia="en-ZA"/>
        </w:rPr>
      </w:pPr>
      <w:r w:rsidRPr="00E4567F">
        <w:rPr>
          <w:rFonts w:eastAsia="Times New Roman" w:cs="Arial"/>
          <w:color w:val="2A2A2A"/>
          <w:lang w:eastAsia="en-ZA"/>
        </w:rPr>
        <w:t>Foreign sector: R 746 323 784 719</w:t>
      </w:r>
    </w:p>
    <w:p w14:paraId="64A0CDD1" w14:textId="77777777" w:rsidR="00E4567F" w:rsidRPr="00E4567F" w:rsidRDefault="00E4567F" w:rsidP="00E4567F">
      <w:pPr>
        <w:numPr>
          <w:ilvl w:val="0"/>
          <w:numId w:val="12"/>
        </w:numPr>
        <w:tabs>
          <w:tab w:val="clear" w:pos="720"/>
        </w:tabs>
        <w:spacing w:before="120" w:after="120"/>
        <w:ind w:left="397" w:hanging="284"/>
        <w:jc w:val="both"/>
        <w:rPr>
          <w:rFonts w:eastAsia="Times New Roman" w:cs="Arial"/>
          <w:lang w:eastAsia="en-ZA"/>
        </w:rPr>
      </w:pPr>
      <w:r w:rsidRPr="00E4567F">
        <w:rPr>
          <w:rFonts w:eastAsia="Times New Roman" w:cs="Arial"/>
          <w:color w:val="2A2A2A"/>
          <w:lang w:eastAsia="en-ZA"/>
        </w:rPr>
        <w:t>Monetary authorities: R 261 718 162 887</w:t>
      </w:r>
    </w:p>
    <w:p w14:paraId="0804AD9C" w14:textId="77777777" w:rsidR="00E4567F" w:rsidRPr="00E4567F" w:rsidRDefault="00E4567F" w:rsidP="00E4567F">
      <w:pPr>
        <w:numPr>
          <w:ilvl w:val="0"/>
          <w:numId w:val="12"/>
        </w:numPr>
        <w:tabs>
          <w:tab w:val="clear" w:pos="720"/>
        </w:tabs>
        <w:spacing w:before="120" w:after="120"/>
        <w:ind w:left="397" w:hanging="284"/>
        <w:jc w:val="both"/>
        <w:rPr>
          <w:rFonts w:eastAsia="Times New Roman" w:cs="Arial"/>
          <w:lang w:eastAsia="en-ZA"/>
        </w:rPr>
      </w:pPr>
      <w:r w:rsidRPr="00E4567F">
        <w:rPr>
          <w:rFonts w:eastAsia="Times New Roman" w:cs="Arial"/>
          <w:color w:val="2A2A2A"/>
          <w:lang w:eastAsia="en-ZA"/>
        </w:rPr>
        <w:t>Official pension funds:  R 235 327 857 054</w:t>
      </w:r>
    </w:p>
    <w:p w14:paraId="3684F59E" w14:textId="77777777" w:rsidR="00E4567F" w:rsidRPr="00E4567F" w:rsidRDefault="00E4567F" w:rsidP="00E4567F">
      <w:pPr>
        <w:numPr>
          <w:ilvl w:val="0"/>
          <w:numId w:val="12"/>
        </w:numPr>
        <w:tabs>
          <w:tab w:val="clear" w:pos="720"/>
        </w:tabs>
        <w:spacing w:before="120" w:after="120"/>
        <w:ind w:left="397" w:hanging="284"/>
        <w:jc w:val="both"/>
        <w:rPr>
          <w:rFonts w:eastAsia="Times New Roman" w:cs="Arial"/>
          <w:lang w:eastAsia="en-ZA"/>
        </w:rPr>
      </w:pPr>
      <w:r w:rsidRPr="00E4567F">
        <w:rPr>
          <w:rFonts w:eastAsia="Times New Roman" w:cs="Arial"/>
          <w:color w:val="2A2A2A"/>
          <w:lang w:eastAsia="en-ZA"/>
        </w:rPr>
        <w:t>Other financial institutions: R 202 444 290 796</w:t>
      </w:r>
    </w:p>
    <w:p w14:paraId="25CF6DDD" w14:textId="77777777" w:rsidR="00E4567F" w:rsidRPr="00E4567F" w:rsidRDefault="00E4567F" w:rsidP="00E4567F">
      <w:pPr>
        <w:numPr>
          <w:ilvl w:val="0"/>
          <w:numId w:val="12"/>
        </w:numPr>
        <w:tabs>
          <w:tab w:val="clear" w:pos="720"/>
        </w:tabs>
        <w:spacing w:before="120" w:after="120"/>
        <w:ind w:left="397" w:hanging="284"/>
        <w:jc w:val="both"/>
        <w:rPr>
          <w:rFonts w:eastAsia="Times New Roman" w:cs="Arial"/>
          <w:lang w:eastAsia="en-ZA"/>
        </w:rPr>
      </w:pPr>
      <w:r w:rsidRPr="00E4567F">
        <w:rPr>
          <w:rFonts w:eastAsia="Times New Roman" w:cs="Arial"/>
          <w:color w:val="2A2A2A"/>
          <w:lang w:eastAsia="en-ZA"/>
        </w:rPr>
        <w:t>Long-term insurers: R 94 359 872 683</w:t>
      </w:r>
    </w:p>
    <w:p w14:paraId="21B68B5B" w14:textId="77777777" w:rsidR="00E4567F" w:rsidRPr="00E4567F" w:rsidRDefault="00E4567F" w:rsidP="00E4567F">
      <w:pPr>
        <w:numPr>
          <w:ilvl w:val="0"/>
          <w:numId w:val="12"/>
        </w:numPr>
        <w:tabs>
          <w:tab w:val="clear" w:pos="720"/>
        </w:tabs>
        <w:spacing w:before="120" w:after="120"/>
        <w:ind w:left="397" w:hanging="284"/>
        <w:jc w:val="both"/>
        <w:rPr>
          <w:rFonts w:eastAsia="Times New Roman" w:cs="Arial"/>
          <w:lang w:eastAsia="en-ZA"/>
        </w:rPr>
      </w:pPr>
      <w:r w:rsidRPr="00E4567F">
        <w:rPr>
          <w:rFonts w:eastAsia="Times New Roman" w:cs="Arial"/>
          <w:color w:val="2A2A2A"/>
          <w:lang w:eastAsia="en-ZA"/>
        </w:rPr>
        <w:t>Private self-administered funds: R 36 741 737 416</w:t>
      </w:r>
    </w:p>
    <w:p w14:paraId="730CF441" w14:textId="77777777" w:rsidR="00E4567F" w:rsidRPr="00E4567F" w:rsidRDefault="00E4567F" w:rsidP="00E4567F">
      <w:pPr>
        <w:numPr>
          <w:ilvl w:val="0"/>
          <w:numId w:val="12"/>
        </w:numPr>
        <w:tabs>
          <w:tab w:val="clear" w:pos="720"/>
        </w:tabs>
        <w:spacing w:before="120" w:after="120"/>
        <w:ind w:left="397" w:hanging="284"/>
        <w:jc w:val="both"/>
        <w:rPr>
          <w:rFonts w:eastAsia="Times New Roman" w:cs="Arial"/>
          <w:lang w:eastAsia="en-ZA"/>
        </w:rPr>
      </w:pPr>
      <w:r w:rsidRPr="00E4567F">
        <w:rPr>
          <w:rFonts w:eastAsia="Times New Roman" w:cs="Arial"/>
          <w:color w:val="2A2A2A"/>
          <w:lang w:eastAsia="en-ZA"/>
        </w:rPr>
        <w:t>Short-term insurers: R 8 402 776 417</w:t>
      </w:r>
    </w:p>
    <w:p w14:paraId="5303456B" w14:textId="77777777" w:rsidR="00E4567F" w:rsidRPr="00E4567F" w:rsidRDefault="00E4567F" w:rsidP="00E4567F">
      <w:pPr>
        <w:numPr>
          <w:ilvl w:val="0"/>
          <w:numId w:val="12"/>
        </w:numPr>
        <w:tabs>
          <w:tab w:val="clear" w:pos="720"/>
        </w:tabs>
        <w:spacing w:before="120" w:after="120"/>
        <w:ind w:left="397" w:hanging="284"/>
        <w:jc w:val="both"/>
        <w:rPr>
          <w:rFonts w:eastAsia="Times New Roman" w:cs="Arial"/>
          <w:lang w:eastAsia="en-ZA"/>
        </w:rPr>
      </w:pPr>
      <w:r w:rsidRPr="00E4567F">
        <w:rPr>
          <w:rFonts w:eastAsia="Times New Roman" w:cs="Arial"/>
          <w:color w:val="2A2A2A"/>
          <w:lang w:eastAsia="en-ZA"/>
        </w:rPr>
        <w:t>Other sector : R 7 265 110 686</w:t>
      </w:r>
    </w:p>
    <w:p w14:paraId="3F8AF19D" w14:textId="77777777" w:rsidR="00E4567F" w:rsidRPr="00E4567F" w:rsidRDefault="00E4567F" w:rsidP="00E4567F">
      <w:pPr>
        <w:numPr>
          <w:ilvl w:val="0"/>
          <w:numId w:val="12"/>
        </w:numPr>
        <w:tabs>
          <w:tab w:val="clear" w:pos="720"/>
        </w:tabs>
        <w:spacing w:before="120" w:after="120"/>
        <w:ind w:left="397" w:hanging="284"/>
        <w:jc w:val="both"/>
        <w:rPr>
          <w:rFonts w:eastAsia="Times New Roman" w:cs="Arial"/>
          <w:lang w:eastAsia="en-ZA"/>
        </w:rPr>
      </w:pPr>
      <w:r w:rsidRPr="00E4567F">
        <w:rPr>
          <w:rFonts w:eastAsia="Times New Roman" w:cs="Arial"/>
          <w:color w:val="2A2A2A"/>
          <w:lang w:eastAsia="en-ZA"/>
        </w:rPr>
        <w:t>CSDP reporting error: R 59 119 232</w:t>
      </w:r>
    </w:p>
    <w:p w14:paraId="5063E269" w14:textId="77777777" w:rsidR="00E4567F" w:rsidRPr="00E4567F" w:rsidRDefault="00E4567F" w:rsidP="00E4567F">
      <w:pPr>
        <w:spacing w:before="120" w:after="120"/>
        <w:jc w:val="both"/>
        <w:rPr>
          <w:rFonts w:eastAsia="Times New Roman" w:cs="Arial"/>
          <w:lang w:eastAsia="en-ZA"/>
        </w:rPr>
      </w:pPr>
      <w:r w:rsidRPr="00E4567F">
        <w:rPr>
          <w:rFonts w:eastAsia="Times New Roman" w:cs="Arial"/>
          <w:color w:val="2A2A2A"/>
          <w:lang w:eastAsia="en-ZA"/>
        </w:rPr>
        <w:t>Total fixed rate bonds as at March 2019 amounted to R1 592 642 711 890 (thats right, fixed rate bonds issued by the SA government amounts to R1.592 trillion). And of SA fixed rate bonds issued, 46% of these is held by the foreign sector (basically any entity, person or government outside of South Africa).</w:t>
      </w:r>
    </w:p>
    <w:p w14:paraId="22F1AFD6" w14:textId="77777777" w:rsidR="00E4567F" w:rsidRPr="00E4567F" w:rsidRDefault="00E4567F" w:rsidP="00E4567F">
      <w:pPr>
        <w:spacing w:before="120" w:after="120"/>
        <w:jc w:val="both"/>
        <w:outlineLvl w:val="1"/>
        <w:rPr>
          <w:rFonts w:eastAsia="Times New Roman" w:cs="Arial"/>
          <w:b/>
          <w:bCs/>
          <w:lang w:eastAsia="en-ZA"/>
        </w:rPr>
      </w:pPr>
      <w:r w:rsidRPr="00E4567F">
        <w:rPr>
          <w:rFonts w:eastAsia="Times New Roman" w:cs="Arial"/>
          <w:b/>
          <w:bCs/>
          <w:lang w:eastAsia="en-ZA"/>
        </w:rPr>
        <w:t>2 April: SARS announces R15 billion tax short fall for 2018/2019 tax year</w:t>
      </w:r>
    </w:p>
    <w:p w14:paraId="5721BC4E" w14:textId="77777777" w:rsidR="00E4567F" w:rsidRDefault="00E4567F" w:rsidP="00E4567F">
      <w:pPr>
        <w:spacing w:before="120" w:after="120"/>
        <w:jc w:val="both"/>
        <w:rPr>
          <w:rFonts w:eastAsia="Times New Roman" w:cs="Arial"/>
          <w:color w:val="2A2A2A"/>
          <w:lang w:eastAsia="en-ZA"/>
        </w:rPr>
      </w:pPr>
      <w:r w:rsidRPr="00E4567F">
        <w:rPr>
          <w:rFonts w:eastAsia="Times New Roman" w:cs="Arial"/>
          <w:color w:val="2A2A2A"/>
          <w:lang w:eastAsia="en-ZA"/>
        </w:rPr>
        <w:t xml:space="preserve">The latest reports as seen on </w:t>
      </w:r>
      <w:hyperlink r:id="rId137" w:tgtFrame="_blank" w:history="1">
        <w:r w:rsidRPr="00E4567F">
          <w:rPr>
            <w:rFonts w:eastAsia="Times New Roman" w:cs="Arial"/>
            <w:b/>
            <w:bCs/>
            <w:lang w:eastAsia="en-ZA"/>
          </w:rPr>
          <w:t>Sharenet</w:t>
        </w:r>
        <w:r w:rsidRPr="00E4567F">
          <w:rPr>
            <w:rFonts w:eastAsia="Times New Roman" w:cs="Arial"/>
            <w:color w:val="0000FF"/>
            <w:u w:val="single"/>
            <w:lang w:eastAsia="en-ZA"/>
          </w:rPr>
          <w:t xml:space="preserve"> </w:t>
        </w:r>
      </w:hyperlink>
      <w:r w:rsidRPr="00E4567F">
        <w:rPr>
          <w:rFonts w:eastAsia="Times New Roman" w:cs="Arial"/>
          <w:color w:val="2A2A2A"/>
          <w:lang w:eastAsia="en-ZA"/>
        </w:rPr>
        <w:t>and obtained from Reuters regarding the announcement made by SARS yesterday regarding the tax revenue short fall announced by SARS can be seen below.​</w:t>
      </w:r>
    </w:p>
    <w:p w14:paraId="6A267751" w14:textId="3A4C1AA7" w:rsidR="00E4567F" w:rsidRDefault="00E4567F" w:rsidP="00E4567F">
      <w:pPr>
        <w:spacing w:before="120" w:after="120"/>
        <w:jc w:val="both"/>
        <w:rPr>
          <w:rFonts w:eastAsia="Times New Roman" w:cs="Arial"/>
          <w:i/>
          <w:iCs/>
          <w:color w:val="212529"/>
          <w:lang w:eastAsia="en-ZA"/>
        </w:rPr>
      </w:pPr>
      <w:r w:rsidRPr="00E4567F">
        <w:rPr>
          <w:rFonts w:eastAsia="Times New Roman" w:cs="Arial"/>
          <w:i/>
          <w:iCs/>
          <w:color w:val="212529"/>
          <w:lang w:eastAsia="en-ZA"/>
        </w:rPr>
        <w:t>PRETORIA (Reuters) - South African collected an estimated 1.287 trillion rand ($91 billion) in tax in the 2018/19 fiscal year, about 15 billion rand short of the government</w:t>
      </w:r>
      <w:r w:rsidR="00FA1C1A">
        <w:rPr>
          <w:rFonts w:eastAsia="Times New Roman" w:cs="Arial"/>
          <w:i/>
          <w:iCs/>
          <w:color w:val="212529"/>
          <w:lang w:eastAsia="en-ZA"/>
        </w:rPr>
        <w:t>’</w:t>
      </w:r>
      <w:r w:rsidRPr="00E4567F">
        <w:rPr>
          <w:rFonts w:eastAsia="Times New Roman" w:cs="Arial"/>
          <w:i/>
          <w:iCs/>
          <w:color w:val="212529"/>
          <w:lang w:eastAsia="en-ZA"/>
        </w:rPr>
        <w:t>s target, the revenue service SARS said on Monday.</w:t>
      </w:r>
    </w:p>
    <w:p w14:paraId="04F1D643" w14:textId="77777777" w:rsidR="00E4567F" w:rsidRDefault="00E4567F" w:rsidP="00E4567F">
      <w:pPr>
        <w:spacing w:before="120" w:after="120"/>
        <w:jc w:val="both"/>
        <w:rPr>
          <w:rFonts w:eastAsia="Times New Roman" w:cs="Arial"/>
          <w:i/>
          <w:iCs/>
          <w:color w:val="212529"/>
          <w:lang w:eastAsia="en-ZA"/>
        </w:rPr>
      </w:pPr>
      <w:r w:rsidRPr="00E4567F">
        <w:rPr>
          <w:rFonts w:eastAsia="Times New Roman" w:cs="Arial"/>
          <w:i/>
          <w:iCs/>
          <w:color w:val="212529"/>
          <w:lang w:eastAsia="en-ZA"/>
        </w:rPr>
        <w:lastRenderedPageBreak/>
        <w:t>South Africa has seen revenue collections fall consistently since 2015 due to weak economic growth and administrative weakness. The latter issue led President Cyril Ramaphosa to fire Tom Moyane as revenue service boss in November.</w:t>
      </w:r>
    </w:p>
    <w:p w14:paraId="22220213" w14:textId="51FA556E" w:rsidR="00E4567F" w:rsidRDefault="00FA1C1A" w:rsidP="00E4567F">
      <w:pPr>
        <w:spacing w:before="120" w:after="120"/>
        <w:jc w:val="both"/>
        <w:rPr>
          <w:rFonts w:eastAsia="Times New Roman" w:cs="Arial"/>
          <w:i/>
          <w:iCs/>
          <w:color w:val="212529"/>
          <w:lang w:eastAsia="en-ZA"/>
        </w:rPr>
      </w:pPr>
      <w:r>
        <w:rPr>
          <w:rFonts w:eastAsia="Times New Roman" w:cs="Arial"/>
          <w:i/>
          <w:iCs/>
          <w:color w:val="212529"/>
          <w:lang w:eastAsia="en-ZA"/>
        </w:rPr>
        <w:t>“</w:t>
      </w:r>
      <w:r w:rsidR="00E4567F" w:rsidRPr="00E4567F">
        <w:rPr>
          <w:rFonts w:eastAsia="Times New Roman" w:cs="Arial"/>
          <w:i/>
          <w:iCs/>
          <w:color w:val="212529"/>
          <w:lang w:eastAsia="en-ZA"/>
        </w:rPr>
        <w:t>SARS is concerned that the levels of compliance have declined in the last few years and we are seeing the results of that in these figures,</w:t>
      </w:r>
      <w:r>
        <w:rPr>
          <w:rFonts w:eastAsia="Times New Roman" w:cs="Arial"/>
          <w:i/>
          <w:iCs/>
          <w:color w:val="212529"/>
          <w:lang w:eastAsia="en-ZA"/>
        </w:rPr>
        <w:t>”</w:t>
      </w:r>
      <w:r w:rsidR="00E4567F" w:rsidRPr="00E4567F">
        <w:rPr>
          <w:rFonts w:eastAsia="Times New Roman" w:cs="Arial"/>
          <w:i/>
          <w:iCs/>
          <w:color w:val="212529"/>
          <w:lang w:eastAsia="en-ZA"/>
        </w:rPr>
        <w:t xml:space="preserve"> acting tax commissioner Mark Kingon said. Fiscal year 2018/19 ended in March.</w:t>
      </w:r>
    </w:p>
    <w:p w14:paraId="06103979" w14:textId="77777777" w:rsidR="00E4567F" w:rsidRDefault="00E4567F" w:rsidP="00E4567F">
      <w:pPr>
        <w:spacing w:before="120" w:after="120"/>
        <w:jc w:val="both"/>
        <w:rPr>
          <w:rFonts w:eastAsia="Times New Roman" w:cs="Arial"/>
          <w:i/>
          <w:iCs/>
          <w:color w:val="212529"/>
          <w:lang w:eastAsia="en-ZA"/>
        </w:rPr>
      </w:pPr>
      <w:r w:rsidRPr="00E4567F">
        <w:rPr>
          <w:rFonts w:eastAsia="Times New Roman" w:cs="Arial"/>
          <w:i/>
          <w:iCs/>
          <w:color w:val="212529"/>
          <w:lang w:eastAsia="en-ZA"/>
        </w:rPr>
        <w:t>South Africa aims to collect about 10 percent more in tax -- 1.4 trillion rand -- in 2019/20, the revenue service said.</w:t>
      </w:r>
    </w:p>
    <w:p w14:paraId="0ED7A63B" w14:textId="67CDB301" w:rsidR="00E4567F" w:rsidRDefault="00E4567F" w:rsidP="00E4567F">
      <w:pPr>
        <w:spacing w:before="120" w:after="120"/>
        <w:jc w:val="both"/>
        <w:rPr>
          <w:rFonts w:eastAsia="Times New Roman" w:cs="Arial"/>
          <w:i/>
          <w:iCs/>
          <w:color w:val="212529"/>
          <w:lang w:eastAsia="en-ZA"/>
        </w:rPr>
      </w:pPr>
      <w:r w:rsidRPr="00E4567F">
        <w:rPr>
          <w:rFonts w:eastAsia="Times New Roman" w:cs="Arial"/>
          <w:i/>
          <w:iCs/>
          <w:color w:val="212529"/>
          <w:lang w:eastAsia="en-ZA"/>
        </w:rPr>
        <w:t>Corporate income tax was down 3.2 percent compared to the estimates made in February</w:t>
      </w:r>
      <w:r w:rsidR="00FA1C1A">
        <w:rPr>
          <w:rFonts w:eastAsia="Times New Roman" w:cs="Arial"/>
          <w:i/>
          <w:iCs/>
          <w:color w:val="212529"/>
          <w:lang w:eastAsia="en-ZA"/>
        </w:rPr>
        <w:t>’</w:t>
      </w:r>
      <w:r w:rsidRPr="00E4567F">
        <w:rPr>
          <w:rFonts w:eastAsia="Times New Roman" w:cs="Arial"/>
          <w:i/>
          <w:iCs/>
          <w:color w:val="212529"/>
          <w:lang w:eastAsia="en-ZA"/>
        </w:rPr>
        <w:t>s budget, while personal tax collections were down 1.2 percent compared to target.</w:t>
      </w:r>
    </w:p>
    <w:p w14:paraId="309B9E85" w14:textId="2ED148A6" w:rsidR="00E4567F" w:rsidRDefault="00FA1C1A" w:rsidP="00E4567F">
      <w:pPr>
        <w:spacing w:before="120" w:after="120"/>
        <w:jc w:val="both"/>
        <w:rPr>
          <w:rFonts w:eastAsia="Times New Roman" w:cs="Arial"/>
          <w:i/>
          <w:iCs/>
          <w:color w:val="212529"/>
          <w:lang w:eastAsia="en-ZA"/>
        </w:rPr>
      </w:pPr>
      <w:r>
        <w:rPr>
          <w:rFonts w:eastAsia="Times New Roman" w:cs="Arial"/>
          <w:i/>
          <w:iCs/>
          <w:color w:val="212529"/>
          <w:lang w:eastAsia="en-ZA"/>
        </w:rPr>
        <w:t>“</w:t>
      </w:r>
      <w:r w:rsidR="00E4567F" w:rsidRPr="00E4567F">
        <w:rPr>
          <w:rFonts w:eastAsia="Times New Roman" w:cs="Arial"/>
          <w:i/>
          <w:iCs/>
          <w:color w:val="212529"/>
          <w:lang w:eastAsia="en-ZA"/>
        </w:rPr>
        <w:t>The slow improvement in production and employment following poor investment growth in 2018 as well the moderation in global trade and investment, presented a weaker outlook for the economy,</w:t>
      </w:r>
      <w:r>
        <w:rPr>
          <w:rFonts w:eastAsia="Times New Roman" w:cs="Arial"/>
          <w:i/>
          <w:iCs/>
          <w:color w:val="212529"/>
          <w:lang w:eastAsia="en-ZA"/>
        </w:rPr>
        <w:t>”</w:t>
      </w:r>
      <w:r w:rsidR="00E4567F" w:rsidRPr="00E4567F">
        <w:rPr>
          <w:rFonts w:eastAsia="Times New Roman" w:cs="Arial"/>
          <w:i/>
          <w:iCs/>
          <w:color w:val="212529"/>
          <w:lang w:eastAsia="en-ZA"/>
        </w:rPr>
        <w:t xml:space="preserve"> Kingon said.</w:t>
      </w:r>
    </w:p>
    <w:p w14:paraId="6F9A64B8" w14:textId="77777777" w:rsidR="00E4567F" w:rsidRDefault="00E4567F" w:rsidP="00E4567F">
      <w:pPr>
        <w:spacing w:before="120" w:after="120"/>
        <w:jc w:val="both"/>
        <w:rPr>
          <w:rFonts w:eastAsia="Times New Roman" w:cs="Arial"/>
          <w:i/>
          <w:iCs/>
          <w:color w:val="212529"/>
          <w:lang w:eastAsia="en-ZA"/>
        </w:rPr>
      </w:pPr>
      <w:r w:rsidRPr="00E4567F">
        <w:rPr>
          <w:rFonts w:eastAsia="Times New Roman" w:cs="Arial"/>
          <w:i/>
          <w:iCs/>
          <w:color w:val="212529"/>
          <w:lang w:eastAsia="en-ZA"/>
        </w:rPr>
        <w:t>In the February budget Finance Minister Tito Mboweni avoided raising income taxes after the treasury hiked value-added tax in 2018 for the first time in 25 years, choosing instead to push up fuel levies and taxes on alcohol and tobacco products.</w:t>
      </w:r>
    </w:p>
    <w:p w14:paraId="2CF3687B" w14:textId="3576F6DF" w:rsidR="00E4567F" w:rsidRPr="00E4567F" w:rsidRDefault="00E4567F" w:rsidP="00E4567F">
      <w:pPr>
        <w:spacing w:before="120" w:after="120"/>
        <w:jc w:val="both"/>
        <w:rPr>
          <w:rFonts w:eastAsia="Times New Roman" w:cs="Arial"/>
          <w:lang w:eastAsia="en-ZA"/>
        </w:rPr>
      </w:pPr>
      <w:r w:rsidRPr="00E4567F">
        <w:rPr>
          <w:rFonts w:eastAsia="Times New Roman" w:cs="Arial"/>
          <w:i/>
          <w:iCs/>
          <w:color w:val="212529"/>
          <w:lang w:eastAsia="en-ZA"/>
        </w:rPr>
        <w:t>The moves are expected to raise tax revenue by 15 billion rand in 2019/20 financial year.</w:t>
      </w:r>
    </w:p>
    <w:p w14:paraId="10FBF1F4" w14:textId="77777777" w:rsidR="00E4567F" w:rsidRPr="00E4567F" w:rsidRDefault="00E4567F" w:rsidP="00E4567F">
      <w:pPr>
        <w:spacing w:before="120" w:after="120"/>
        <w:jc w:val="both"/>
        <w:outlineLvl w:val="1"/>
        <w:rPr>
          <w:rFonts w:eastAsia="Times New Roman" w:cs="Arial"/>
          <w:b/>
          <w:bCs/>
          <w:lang w:eastAsia="en-ZA"/>
        </w:rPr>
      </w:pPr>
      <w:r w:rsidRPr="00E4567F">
        <w:rPr>
          <w:rFonts w:eastAsia="Times New Roman" w:cs="Arial"/>
          <w:b/>
          <w:bCs/>
          <w:lang w:eastAsia="en-ZA"/>
        </w:rPr>
        <w:t>14 March 2019: Government finances: surplus, deficit and debt</w:t>
      </w:r>
    </w:p>
    <w:p w14:paraId="2E1F9924" w14:textId="0E5531AF" w:rsidR="00E4567F" w:rsidRDefault="00E4567F" w:rsidP="00E4567F">
      <w:pPr>
        <w:spacing w:before="120" w:after="120"/>
        <w:jc w:val="both"/>
        <w:rPr>
          <w:rFonts w:eastAsia="Times New Roman" w:cs="Arial"/>
          <w:color w:val="2A2A2A"/>
          <w:lang w:eastAsia="en-ZA"/>
        </w:rPr>
      </w:pPr>
      <w:r w:rsidRPr="00E4567F">
        <w:rPr>
          <w:rFonts w:eastAsia="Times New Roman" w:cs="Arial"/>
          <w:color w:val="2A2A2A"/>
          <w:lang w:eastAsia="en-ZA"/>
        </w:rPr>
        <w:t xml:space="preserve">We take a look at a article published by </w:t>
      </w:r>
      <w:hyperlink r:id="rId138" w:tgtFrame="_blank" w:history="1">
        <w:r w:rsidRPr="00E4567F">
          <w:rPr>
            <w:rFonts w:eastAsia="Times New Roman" w:cs="Arial"/>
            <w:color w:val="0000FF"/>
            <w:u w:val="single"/>
            <w:lang w:eastAsia="en-ZA"/>
          </w:rPr>
          <w:t>Statistics South Africa</w:t>
        </w:r>
      </w:hyperlink>
      <w:r w:rsidRPr="00E4567F">
        <w:rPr>
          <w:rFonts w:eastAsia="Times New Roman" w:cs="Arial"/>
          <w:color w:val="2A2A2A"/>
          <w:lang w:eastAsia="en-ZA"/>
        </w:rPr>
        <w:t xml:space="preserve"> which relates strongly to South Africa</w:t>
      </w:r>
      <w:r w:rsidR="00FA1C1A">
        <w:rPr>
          <w:rFonts w:eastAsia="Times New Roman" w:cs="Arial"/>
          <w:color w:val="2A2A2A"/>
          <w:lang w:eastAsia="en-ZA"/>
        </w:rPr>
        <w:t>’</w:t>
      </w:r>
      <w:r w:rsidRPr="00E4567F">
        <w:rPr>
          <w:rFonts w:eastAsia="Times New Roman" w:cs="Arial"/>
          <w:color w:val="2A2A2A"/>
          <w:lang w:eastAsia="en-ZA"/>
        </w:rPr>
        <w:t>s fiscal policy.</w:t>
      </w:r>
    </w:p>
    <w:p w14:paraId="64908E9E" w14:textId="77777777" w:rsidR="00E4567F" w:rsidRDefault="00E4567F" w:rsidP="00E4567F">
      <w:pPr>
        <w:spacing w:before="120" w:after="120"/>
        <w:jc w:val="both"/>
        <w:rPr>
          <w:rFonts w:eastAsia="Times New Roman" w:cs="Arial"/>
          <w:b/>
          <w:bCs/>
          <w:color w:val="2A2A2A"/>
          <w:lang w:eastAsia="en-ZA"/>
        </w:rPr>
      </w:pPr>
      <w:r w:rsidRPr="00E4567F">
        <w:rPr>
          <w:rFonts w:eastAsia="Times New Roman" w:cs="Arial"/>
          <w:b/>
          <w:bCs/>
          <w:color w:val="2A2A2A"/>
          <w:lang w:eastAsia="en-ZA"/>
        </w:rPr>
        <w:t>Article Starts</w:t>
      </w:r>
    </w:p>
    <w:p w14:paraId="2C7DEB1E" w14:textId="18BC269B" w:rsidR="00E4567F" w:rsidRPr="00E4567F" w:rsidRDefault="00E4567F" w:rsidP="00E4567F">
      <w:pPr>
        <w:spacing w:before="120" w:after="120"/>
        <w:jc w:val="both"/>
        <w:rPr>
          <w:rFonts w:eastAsia="Times New Roman" w:cs="Arial"/>
          <w:lang w:eastAsia="en-ZA"/>
        </w:rPr>
      </w:pPr>
      <w:r w:rsidRPr="00E4567F">
        <w:rPr>
          <w:rFonts w:eastAsia="Times New Roman" w:cs="Arial"/>
          <w:color w:val="2A2A2A"/>
          <w:lang w:eastAsia="en-ZA"/>
        </w:rPr>
        <w:t>Believe it or not, there was a time – not so long ago – when the South African government actually spent less than it earned. Stats SA takes a look at government spending over 13 years, focusing on how much we pay to service our debt. Harking back to better times in February’s National Budget Speech, Finance Minister Tito Mboweni quipped that his predecessor, Trevor Manuel, had given out succulent plums to highlight the prosperous times the country had then found itself in. If state expenditure is taken as a measure of better times, there was a three-year period (2005/6 to 2008/9) when government spent less than it earned, enjoying a surplus over that period. This is according to time series data from Stats SA’s </w:t>
      </w:r>
      <w:r w:rsidRPr="00E4567F">
        <w:rPr>
          <w:rFonts w:eastAsia="Times New Roman" w:cs="Arial"/>
          <w:i/>
          <w:iCs/>
          <w:color w:val="2A2A2A"/>
          <w:lang w:eastAsia="en-ZA"/>
        </w:rPr>
        <w:t>Financial statistics of consolidated general government </w:t>
      </w:r>
      <w:r w:rsidRPr="00E4567F">
        <w:rPr>
          <w:rFonts w:eastAsia="Times New Roman" w:cs="Arial"/>
          <w:color w:val="2A2A2A"/>
          <w:lang w:eastAsia="en-ZA"/>
        </w:rPr>
        <w:t>report.</w:t>
      </w:r>
    </w:p>
    <w:p w14:paraId="75B1B0B1" w14:textId="77777777" w:rsidR="00E4567F" w:rsidRPr="00E4567F" w:rsidRDefault="00E4567F" w:rsidP="00E4567F">
      <w:pPr>
        <w:spacing w:before="120" w:after="120"/>
        <w:jc w:val="both"/>
        <w:rPr>
          <w:rFonts w:eastAsia="Times New Roman" w:cs="Arial"/>
          <w:lang w:eastAsia="en-ZA"/>
        </w:rPr>
      </w:pPr>
      <w:r w:rsidRPr="00E4567F">
        <w:rPr>
          <w:rFonts w:eastAsia="Times New Roman" w:cs="Arial"/>
          <w:noProof/>
          <w:lang w:eastAsia="en-ZA"/>
        </w:rPr>
        <w:lastRenderedPageBreak/>
        <w:drawing>
          <wp:inline distT="0" distB="0" distL="0" distR="0" wp14:anchorId="07DC9AED" wp14:editId="2280AB4D">
            <wp:extent cx="5707380" cy="3822268"/>
            <wp:effectExtent l="0" t="0" r="7620" b="6985"/>
            <wp:docPr id="21" name="Picture 21" descr="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Picture"/>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5718872" cy="3829964"/>
                    </a:xfrm>
                    <a:prstGeom prst="rect">
                      <a:avLst/>
                    </a:prstGeom>
                    <a:noFill/>
                    <a:ln>
                      <a:noFill/>
                    </a:ln>
                  </pic:spPr>
                </pic:pic>
              </a:graphicData>
            </a:graphic>
          </wp:inline>
        </w:drawing>
      </w:r>
    </w:p>
    <w:p w14:paraId="7178F069" w14:textId="77777777" w:rsidR="00E4567F" w:rsidRDefault="00E4567F" w:rsidP="00E4567F">
      <w:pPr>
        <w:spacing w:before="120" w:after="120"/>
        <w:jc w:val="both"/>
        <w:rPr>
          <w:rFonts w:eastAsia="Times New Roman" w:cs="Arial"/>
          <w:color w:val="2A2A2A"/>
          <w:lang w:eastAsia="en-ZA"/>
        </w:rPr>
      </w:pPr>
      <w:r w:rsidRPr="00E4567F">
        <w:rPr>
          <w:rFonts w:eastAsia="Times New Roman" w:cs="Arial"/>
          <w:color w:val="2A2A2A"/>
          <w:lang w:eastAsia="en-ZA"/>
        </w:rPr>
        <w:t>This didn’t last for long, however. The succulent plums quickly shrivelled under the strain of various factors, including the 2008–2009 global financial crisis. The economy floundered in 2008/09, sliding into recession for three consecutive quarters. Government revenue fell in 2009/10, mainly underpinned by a fall in tax collected from businesses. Revenue bounced back the following year, but not enough to lift government out of the red. Since 2007/08, government has consistently spent more than it earns. The deficit in 2016/17, for example, amounted to R156 billion. It should be noted that a budget deficit is not uncommon across the world and should not automatically be seen in a negative light. Countries generally borrow money to cover financial deficits so that they can provide services to their citizens.</w:t>
      </w:r>
    </w:p>
    <w:p w14:paraId="3CD46B7D" w14:textId="295D66AB" w:rsidR="00E4567F" w:rsidRPr="00E4567F" w:rsidRDefault="00E4567F" w:rsidP="00E4567F">
      <w:pPr>
        <w:spacing w:before="120" w:after="120"/>
        <w:jc w:val="both"/>
        <w:rPr>
          <w:rFonts w:eastAsia="Times New Roman" w:cs="Arial"/>
          <w:lang w:eastAsia="en-ZA"/>
        </w:rPr>
      </w:pPr>
      <w:r w:rsidRPr="00E4567F">
        <w:rPr>
          <w:rFonts w:eastAsia="Times New Roman" w:cs="Arial"/>
          <w:color w:val="2A2A2A"/>
          <w:lang w:eastAsia="en-ZA"/>
        </w:rPr>
        <w:t>South Africa’s gross loan debt stood at R2,2 trillion in 2016/17, according to the National Treasury. This translates to about R40 000 per person living in the country. Servicing this level of debt can be expensive. Interest payments accounted for 9,2% (or R146 billion) of general government expenditure (R1,58 trillion) in 2016/17. In other words, for every R100 of total spending, R9,20 was used to pay interest on debt. This is more than what was spent on the hospital (R105 billion), tertiary education (R77 billion) and housing (R69 billion) functions during that period. National Treasury expects this figure to rise, reaching 13% of total expenditure in 2021/22. How do we square up against other countries? South Africa devoted a larger proportion of its budget to paying interest than other countries such as Russia and China, according to data from the International Monetary Fund (IMF). </w:t>
      </w:r>
    </w:p>
    <w:p w14:paraId="3C2C778C" w14:textId="77777777" w:rsidR="00E4567F" w:rsidRPr="00E4567F" w:rsidRDefault="00E4567F" w:rsidP="00E4567F">
      <w:pPr>
        <w:spacing w:before="120" w:after="120"/>
        <w:jc w:val="both"/>
        <w:rPr>
          <w:rFonts w:eastAsia="Times New Roman" w:cs="Arial"/>
          <w:lang w:eastAsia="en-ZA"/>
        </w:rPr>
      </w:pPr>
      <w:r w:rsidRPr="00E4567F">
        <w:rPr>
          <w:rFonts w:eastAsia="Times New Roman" w:cs="Arial"/>
          <w:noProof/>
          <w:lang w:eastAsia="en-ZA"/>
        </w:rPr>
        <w:lastRenderedPageBreak/>
        <w:drawing>
          <wp:inline distT="0" distB="0" distL="0" distR="0" wp14:anchorId="119E3643" wp14:editId="30A7944E">
            <wp:extent cx="5716079" cy="4640580"/>
            <wp:effectExtent l="0" t="0" r="0" b="7620"/>
            <wp:docPr id="11" name="Picture 11" descr="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Picture"/>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5723594" cy="4646681"/>
                    </a:xfrm>
                    <a:prstGeom prst="rect">
                      <a:avLst/>
                    </a:prstGeom>
                    <a:noFill/>
                    <a:ln>
                      <a:noFill/>
                    </a:ln>
                  </pic:spPr>
                </pic:pic>
              </a:graphicData>
            </a:graphic>
          </wp:inline>
        </w:drawing>
      </w:r>
    </w:p>
    <w:p w14:paraId="6E98EE4B" w14:textId="77777777" w:rsidR="00E4567F" w:rsidRDefault="00E4567F" w:rsidP="00E4567F">
      <w:pPr>
        <w:spacing w:before="120" w:after="120"/>
        <w:jc w:val="both"/>
        <w:rPr>
          <w:rFonts w:eastAsia="Times New Roman" w:cs="Arial"/>
          <w:color w:val="2A2A2A"/>
          <w:lang w:eastAsia="en-ZA"/>
        </w:rPr>
      </w:pPr>
      <w:r w:rsidRPr="00E4567F">
        <w:rPr>
          <w:rFonts w:eastAsia="Times New Roman" w:cs="Arial"/>
          <w:color w:val="2A2A2A"/>
          <w:lang w:eastAsia="en-ZA"/>
        </w:rPr>
        <w:t>Of the 109 countries for which data are available, Lebanon, Sri Lanka, Jamaica and Brazil devoted the highest proportion of their respective budgets to interest payments in 2016. Zambia was ranked in 5th place, an indication of the country’s rapidly expanding debt burden.11 South Africa was ranked in 30th position. South Africa has a higher interest payment burden than some of its neighbours. Namibia, Botswana and Lesotho all contribute proportionally smaller chunks of their budgets to service debt. Unfortunately, government financial data are not available for Zimbabwe, eSwatini and Madagascar, as confirmed by Open Data Watch. Reasonable spending and reducing South Africa’s debt were two important prescripts underlying the National Budget Speech in February. In the words of the Minister of Finance, if “we plant anew” seeds that will set us on the track to renewal, we will be able to return the “plum” times that we once enjoyed. </w:t>
      </w:r>
    </w:p>
    <w:p w14:paraId="10F3073C" w14:textId="5AF9DD93" w:rsidR="00E4567F" w:rsidRPr="00E4567F" w:rsidRDefault="00E4567F" w:rsidP="00E4567F">
      <w:pPr>
        <w:spacing w:before="120" w:after="120"/>
        <w:jc w:val="both"/>
        <w:rPr>
          <w:rFonts w:eastAsia="Times New Roman" w:cs="Arial"/>
          <w:lang w:eastAsia="en-ZA"/>
        </w:rPr>
      </w:pPr>
      <w:r w:rsidRPr="00E4567F">
        <w:rPr>
          <w:rFonts w:eastAsia="Times New Roman" w:cs="Arial"/>
          <w:color w:val="2A2A2A"/>
          <w:lang w:eastAsia="en-ZA"/>
        </w:rPr>
        <w:t>Download the </w:t>
      </w:r>
      <w:r w:rsidRPr="00E4567F">
        <w:rPr>
          <w:rFonts w:eastAsia="Times New Roman" w:cs="Arial"/>
          <w:i/>
          <w:iCs/>
          <w:color w:val="2A2A2A"/>
          <w:lang w:eastAsia="en-ZA"/>
        </w:rPr>
        <w:t>Financial statistics of consolidated general government </w:t>
      </w:r>
      <w:r w:rsidRPr="00E4567F">
        <w:rPr>
          <w:rFonts w:eastAsia="Times New Roman" w:cs="Arial"/>
          <w:color w:val="2A2A2A"/>
          <w:lang w:eastAsia="en-ZA"/>
        </w:rPr>
        <w:t>report and time series data </w:t>
      </w:r>
      <w:hyperlink r:id="rId141" w:history="1">
        <w:r w:rsidRPr="00E4567F">
          <w:rPr>
            <w:rFonts w:eastAsia="Times New Roman" w:cs="Arial"/>
            <w:color w:val="0000FF"/>
            <w:u w:val="single"/>
            <w:lang w:eastAsia="en-ZA"/>
          </w:rPr>
          <w:t>here</w:t>
        </w:r>
      </w:hyperlink>
      <w:r w:rsidRPr="00E4567F">
        <w:rPr>
          <w:rFonts w:eastAsia="Times New Roman" w:cs="Arial"/>
          <w:color w:val="2A2A2A"/>
          <w:lang w:eastAsia="en-ZA"/>
        </w:rPr>
        <w:t>.</w:t>
      </w:r>
    </w:p>
    <w:p w14:paraId="56694650" w14:textId="77777777" w:rsidR="00E4567F" w:rsidRPr="00E4567F" w:rsidRDefault="00E4567F" w:rsidP="00E4567F">
      <w:pPr>
        <w:spacing w:before="120" w:after="120"/>
        <w:jc w:val="both"/>
        <w:outlineLvl w:val="1"/>
        <w:rPr>
          <w:rFonts w:eastAsia="Times New Roman" w:cs="Arial"/>
          <w:b/>
          <w:bCs/>
          <w:lang w:eastAsia="en-ZA"/>
        </w:rPr>
      </w:pPr>
      <w:r w:rsidRPr="00E4567F">
        <w:rPr>
          <w:rFonts w:eastAsia="Times New Roman" w:cs="Arial"/>
          <w:b/>
          <w:bCs/>
          <w:lang w:eastAsia="en-ZA"/>
        </w:rPr>
        <w:t>27 February 2019: Excise collected on various alcohol types</w:t>
      </w:r>
    </w:p>
    <w:p w14:paraId="1FBB49C6" w14:textId="772EB6D6" w:rsidR="00E4567F" w:rsidRPr="00E4567F" w:rsidRDefault="00E4567F" w:rsidP="00E4567F">
      <w:pPr>
        <w:spacing w:before="120" w:after="120"/>
        <w:jc w:val="both"/>
        <w:rPr>
          <w:rFonts w:eastAsia="Times New Roman" w:cs="Arial"/>
          <w:lang w:eastAsia="en-ZA"/>
        </w:rPr>
      </w:pPr>
      <w:r w:rsidRPr="00E4567F">
        <w:rPr>
          <w:rFonts w:eastAsia="Times New Roman" w:cs="Arial"/>
          <w:color w:val="3F3F3F"/>
          <w:lang w:eastAsia="en-ZA"/>
        </w:rPr>
        <w:t>The image below shows the contribution of the various alcohol types to government</w:t>
      </w:r>
      <w:r w:rsidR="00FA1C1A">
        <w:rPr>
          <w:rFonts w:eastAsia="Times New Roman" w:cs="Arial"/>
          <w:color w:val="3F3F3F"/>
          <w:lang w:eastAsia="en-ZA"/>
        </w:rPr>
        <w:t>’</w:t>
      </w:r>
      <w:r w:rsidRPr="00E4567F">
        <w:rPr>
          <w:rFonts w:eastAsia="Times New Roman" w:cs="Arial"/>
          <w:color w:val="3F3F3F"/>
          <w:lang w:eastAsia="en-ZA"/>
        </w:rPr>
        <w:t>s expected excise duties and taxes to be collected form the various alcohol types consumed in South Africa (for the 2018/2019 tax year)</w:t>
      </w:r>
    </w:p>
    <w:p w14:paraId="6F09FB2E" w14:textId="77777777" w:rsidR="00E4567F" w:rsidRPr="00E4567F" w:rsidRDefault="00E4567F" w:rsidP="00E4567F">
      <w:pPr>
        <w:spacing w:before="120" w:after="120"/>
        <w:jc w:val="both"/>
        <w:rPr>
          <w:rFonts w:eastAsia="Times New Roman" w:cs="Arial"/>
          <w:lang w:eastAsia="en-ZA"/>
        </w:rPr>
      </w:pPr>
      <w:r w:rsidRPr="00E4567F">
        <w:rPr>
          <w:rFonts w:eastAsia="Times New Roman" w:cs="Arial"/>
          <w:noProof/>
          <w:lang w:eastAsia="en-ZA"/>
        </w:rPr>
        <w:lastRenderedPageBreak/>
        <w:drawing>
          <wp:inline distT="0" distB="0" distL="0" distR="0" wp14:anchorId="40034D8E" wp14:editId="59B4328B">
            <wp:extent cx="5715000" cy="3180884"/>
            <wp:effectExtent l="0" t="0" r="0" b="635"/>
            <wp:docPr id="12" name="Picture 12" descr="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Picture"/>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5742444" cy="3196159"/>
                    </a:xfrm>
                    <a:prstGeom prst="rect">
                      <a:avLst/>
                    </a:prstGeom>
                    <a:noFill/>
                    <a:ln>
                      <a:noFill/>
                    </a:ln>
                  </pic:spPr>
                </pic:pic>
              </a:graphicData>
            </a:graphic>
          </wp:inline>
        </w:drawing>
      </w:r>
    </w:p>
    <w:p w14:paraId="6CF61423" w14:textId="03DF3726" w:rsidR="00E4567F" w:rsidRPr="00E4567F" w:rsidRDefault="00E4567F" w:rsidP="00E4567F">
      <w:pPr>
        <w:spacing w:before="120" w:after="120"/>
        <w:jc w:val="both"/>
        <w:rPr>
          <w:rFonts w:eastAsia="Times New Roman" w:cs="Arial"/>
          <w:lang w:eastAsia="en-ZA"/>
        </w:rPr>
      </w:pPr>
      <w:r w:rsidRPr="00E4567F">
        <w:rPr>
          <w:rFonts w:eastAsia="Times New Roman" w:cs="Arial"/>
          <w:color w:val="2A2A2A"/>
          <w:lang w:eastAsia="en-ZA"/>
        </w:rPr>
        <w:t>As the image above shows the bulk of South Africa</w:t>
      </w:r>
      <w:r w:rsidR="00FA1C1A">
        <w:rPr>
          <w:rFonts w:eastAsia="Times New Roman" w:cs="Arial"/>
          <w:color w:val="2A2A2A"/>
          <w:lang w:eastAsia="en-ZA"/>
        </w:rPr>
        <w:t>’</w:t>
      </w:r>
      <w:r w:rsidRPr="00E4567F">
        <w:rPr>
          <w:rFonts w:eastAsia="Times New Roman" w:cs="Arial"/>
          <w:color w:val="2A2A2A"/>
          <w:lang w:eastAsia="en-ZA"/>
        </w:rPr>
        <w:t>s excise collected on alcohol is expected to come from Beer, with beer making up almost 57% of expected excise to be collected on alcohol. The summary below shows the relative contribution of the various alcohol types to expected excise to be collected for the 2018/2019 tax year.</w:t>
      </w:r>
    </w:p>
    <w:p w14:paraId="376F6971" w14:textId="77777777" w:rsidR="00E4567F" w:rsidRPr="00E4567F" w:rsidRDefault="00E4567F" w:rsidP="00E4567F">
      <w:pPr>
        <w:numPr>
          <w:ilvl w:val="0"/>
          <w:numId w:val="13"/>
        </w:numPr>
        <w:spacing w:before="120" w:after="120"/>
        <w:jc w:val="both"/>
        <w:rPr>
          <w:rFonts w:eastAsia="Times New Roman" w:cs="Arial"/>
          <w:lang w:eastAsia="en-ZA"/>
        </w:rPr>
      </w:pPr>
      <w:r w:rsidRPr="00E4567F">
        <w:rPr>
          <w:rFonts w:eastAsia="Times New Roman" w:cs="Arial"/>
          <w:color w:val="2A2A2A"/>
          <w:lang w:eastAsia="en-ZA"/>
        </w:rPr>
        <w:t>Beer: 56.7%</w:t>
      </w:r>
    </w:p>
    <w:p w14:paraId="482CEF17" w14:textId="77777777" w:rsidR="00E4567F" w:rsidRPr="00E4567F" w:rsidRDefault="00E4567F" w:rsidP="00E4567F">
      <w:pPr>
        <w:numPr>
          <w:ilvl w:val="0"/>
          <w:numId w:val="13"/>
        </w:numPr>
        <w:spacing w:before="120" w:after="120"/>
        <w:jc w:val="both"/>
        <w:rPr>
          <w:rFonts w:eastAsia="Times New Roman" w:cs="Arial"/>
          <w:lang w:eastAsia="en-ZA"/>
        </w:rPr>
      </w:pPr>
      <w:r w:rsidRPr="00E4567F">
        <w:rPr>
          <w:rFonts w:eastAsia="Times New Roman" w:cs="Arial"/>
          <w:color w:val="2A2A2A"/>
          <w:lang w:eastAsia="en-ZA"/>
        </w:rPr>
        <w:t>Spirits:27.4%</w:t>
      </w:r>
    </w:p>
    <w:p w14:paraId="7EDD136D" w14:textId="77777777" w:rsidR="00E4567F" w:rsidRPr="00E4567F" w:rsidRDefault="00E4567F" w:rsidP="00E4567F">
      <w:pPr>
        <w:numPr>
          <w:ilvl w:val="0"/>
          <w:numId w:val="13"/>
        </w:numPr>
        <w:spacing w:before="120" w:after="120"/>
        <w:jc w:val="both"/>
        <w:rPr>
          <w:rFonts w:eastAsia="Times New Roman" w:cs="Arial"/>
          <w:lang w:eastAsia="en-ZA"/>
        </w:rPr>
      </w:pPr>
      <w:r w:rsidRPr="00E4567F">
        <w:rPr>
          <w:rFonts w:eastAsia="Times New Roman" w:cs="Arial"/>
          <w:color w:val="2A2A2A"/>
          <w:lang w:eastAsia="en-ZA"/>
        </w:rPr>
        <w:t>Wine and other fermented beverages: 15.9%</w:t>
      </w:r>
    </w:p>
    <w:p w14:paraId="023F4725" w14:textId="77777777" w:rsidR="00E4567F" w:rsidRPr="00E4567F" w:rsidRDefault="00E4567F" w:rsidP="00E4567F">
      <w:pPr>
        <w:numPr>
          <w:ilvl w:val="0"/>
          <w:numId w:val="13"/>
        </w:numPr>
        <w:spacing w:before="120" w:after="120"/>
        <w:jc w:val="both"/>
        <w:rPr>
          <w:rFonts w:eastAsia="Times New Roman" w:cs="Arial"/>
          <w:lang w:eastAsia="en-ZA"/>
        </w:rPr>
      </w:pPr>
      <w:r w:rsidRPr="00E4567F">
        <w:rPr>
          <w:rFonts w:eastAsia="Times New Roman" w:cs="Arial"/>
          <w:color w:val="2A2A2A"/>
          <w:lang w:eastAsia="en-ZA"/>
        </w:rPr>
        <w:t>Sorghum beer: 0.01%</w:t>
      </w:r>
    </w:p>
    <w:p w14:paraId="5099045F" w14:textId="77777777" w:rsidR="00E4567F" w:rsidRPr="00E4567F" w:rsidRDefault="00E4567F" w:rsidP="00E4567F">
      <w:pPr>
        <w:spacing w:before="120" w:after="120"/>
        <w:jc w:val="both"/>
        <w:rPr>
          <w:rFonts w:eastAsia="Times New Roman" w:cs="Arial"/>
          <w:lang w:eastAsia="en-ZA"/>
        </w:rPr>
      </w:pPr>
      <w:r w:rsidRPr="00E4567F">
        <w:rPr>
          <w:rFonts w:eastAsia="Times New Roman" w:cs="Arial"/>
          <w:color w:val="2A2A2A"/>
          <w:lang w:eastAsia="en-ZA"/>
        </w:rPr>
        <w:t>So if you dont want your drinks to be taxed to death, time to start making and drinking sorghum beer.</w:t>
      </w:r>
    </w:p>
    <w:p w14:paraId="1949979E" w14:textId="0BC98E83" w:rsidR="00E4567F" w:rsidRPr="00E4567F" w:rsidRDefault="00E4567F" w:rsidP="00E4567F">
      <w:pPr>
        <w:spacing w:before="120" w:after="120"/>
        <w:jc w:val="both"/>
        <w:outlineLvl w:val="1"/>
        <w:rPr>
          <w:rFonts w:eastAsia="Times New Roman" w:cs="Arial"/>
          <w:b/>
          <w:bCs/>
          <w:lang w:eastAsia="en-ZA"/>
        </w:rPr>
      </w:pPr>
      <w:r w:rsidRPr="00E4567F">
        <w:rPr>
          <w:rFonts w:eastAsia="Times New Roman" w:cs="Arial"/>
          <w:b/>
          <w:bCs/>
          <w:lang w:eastAsia="en-ZA"/>
        </w:rPr>
        <w:t>24 February 2019: Government</w:t>
      </w:r>
      <w:r w:rsidR="00FA1C1A">
        <w:rPr>
          <w:rFonts w:eastAsia="Times New Roman" w:cs="Arial"/>
          <w:b/>
          <w:bCs/>
          <w:lang w:eastAsia="en-ZA"/>
        </w:rPr>
        <w:t>’</w:t>
      </w:r>
      <w:r w:rsidRPr="00E4567F">
        <w:rPr>
          <w:rFonts w:eastAsia="Times New Roman" w:cs="Arial"/>
          <w:b/>
          <w:bCs/>
          <w:lang w:eastAsia="en-ZA"/>
        </w:rPr>
        <w:t>s planned expenditure for 2019/2020</w:t>
      </w:r>
    </w:p>
    <w:p w14:paraId="374A507B" w14:textId="03CBDE66" w:rsidR="00E4567F" w:rsidRPr="00E4567F" w:rsidRDefault="00E4567F" w:rsidP="00E4567F">
      <w:pPr>
        <w:spacing w:before="120" w:after="120"/>
        <w:jc w:val="both"/>
        <w:rPr>
          <w:rFonts w:eastAsia="Times New Roman" w:cs="Arial"/>
          <w:lang w:eastAsia="en-ZA"/>
        </w:rPr>
      </w:pPr>
      <w:r w:rsidRPr="00E4567F">
        <w:rPr>
          <w:rFonts w:eastAsia="Times New Roman" w:cs="Arial"/>
          <w:color w:val="2A2A2A"/>
          <w:lang w:eastAsia="en-ZA"/>
        </w:rPr>
        <w:t>Today</w:t>
      </w:r>
      <w:r w:rsidR="00FA1C1A">
        <w:rPr>
          <w:rFonts w:eastAsia="Times New Roman" w:cs="Arial"/>
          <w:color w:val="2A2A2A"/>
          <w:lang w:eastAsia="en-ZA"/>
        </w:rPr>
        <w:t>’</w:t>
      </w:r>
      <w:r w:rsidRPr="00E4567F">
        <w:rPr>
          <w:rFonts w:eastAsia="Times New Roman" w:cs="Arial"/>
          <w:color w:val="2A2A2A"/>
          <w:lang w:eastAsia="en-ZA"/>
        </w:rPr>
        <w:t>s update takes a look at the South African government</w:t>
      </w:r>
      <w:r w:rsidR="00FA1C1A">
        <w:rPr>
          <w:rFonts w:eastAsia="Times New Roman" w:cs="Arial"/>
          <w:color w:val="2A2A2A"/>
          <w:lang w:eastAsia="en-ZA"/>
        </w:rPr>
        <w:t>’</w:t>
      </w:r>
      <w:r w:rsidRPr="00E4567F">
        <w:rPr>
          <w:rFonts w:eastAsia="Times New Roman" w:cs="Arial"/>
          <w:color w:val="2A2A2A"/>
          <w:lang w:eastAsia="en-ZA"/>
        </w:rPr>
        <w:t>s planned expenditure for 2019/2020 grouped by various economic categories. No real surprise in what makes up the South African government</w:t>
      </w:r>
      <w:r w:rsidR="00FA1C1A">
        <w:rPr>
          <w:rFonts w:eastAsia="Times New Roman" w:cs="Arial"/>
          <w:color w:val="2A2A2A"/>
          <w:lang w:eastAsia="en-ZA"/>
        </w:rPr>
        <w:t>’</w:t>
      </w:r>
      <w:r w:rsidRPr="00E4567F">
        <w:rPr>
          <w:rFonts w:eastAsia="Times New Roman" w:cs="Arial"/>
          <w:color w:val="2A2A2A"/>
          <w:lang w:eastAsia="en-ZA"/>
        </w:rPr>
        <w:t>s biggest expenditure. It is compensation of employees. All the evidence shows that government has a bloated public service. Even if the minister in the Department of Public Service and administration (DPSA) disagrees.</w:t>
      </w:r>
    </w:p>
    <w:p w14:paraId="38FE4E7C" w14:textId="7103E49F" w:rsidR="00E4567F" w:rsidRPr="00E4567F" w:rsidRDefault="00E4567F" w:rsidP="00E4567F">
      <w:pPr>
        <w:spacing w:before="120" w:after="120"/>
        <w:jc w:val="both"/>
        <w:rPr>
          <w:rFonts w:eastAsia="Times New Roman" w:cs="Arial"/>
          <w:lang w:eastAsia="en-ZA"/>
        </w:rPr>
      </w:pPr>
      <w:r w:rsidRPr="00E4567F">
        <w:rPr>
          <w:rFonts w:eastAsia="Times New Roman" w:cs="Arial"/>
          <w:lang w:eastAsia="en-ZA"/>
        </w:rPr>
        <w:t>South Africa's government planned expenditure per category in 2019/2020Compensation of employees Households (Social Grants)Goods and services Interest and rent on land Provinces and municipalitiesBuildings and other fixed structuresHigher education institutionsNon-profit institutionsPublic corporations and private enterprisesDepartmental agencies and accountsMachinery and equipmentForeign governments and international organisationsSoftware and other intangible assetsLand and sub-soil assetsOther assetsExpenditure type</w:t>
      </w:r>
      <w:r>
        <w:rPr>
          <w:rFonts w:eastAsia="Times New Roman" w:cs="Arial"/>
          <w:lang w:eastAsia="en-ZA"/>
        </w:rPr>
        <w:t xml:space="preserve"> </w:t>
      </w:r>
      <w:r w:rsidRPr="00E4567F">
        <w:rPr>
          <w:rFonts w:eastAsia="Times New Roman" w:cs="Arial"/>
          <w:lang w:eastAsia="en-ZA"/>
        </w:rPr>
        <w:t xml:space="preserve">0100,000,000,000200,000,000,000300,000,000,000400,000,000,000500,000,000,000600,000,000,000700,000,000,000Rand ValueGovernment expenditure </w:t>
      </w:r>
    </w:p>
    <w:p w14:paraId="0F15AFAF" w14:textId="39B123D7" w:rsidR="00E4567F" w:rsidRPr="00E4567F" w:rsidRDefault="00E4567F" w:rsidP="00E4567F">
      <w:pPr>
        <w:spacing w:before="120" w:after="120"/>
        <w:jc w:val="both"/>
        <w:rPr>
          <w:rFonts w:eastAsia="Times New Roman" w:cs="Arial"/>
          <w:lang w:eastAsia="en-ZA"/>
        </w:rPr>
      </w:pPr>
      <w:r w:rsidRPr="00E4567F">
        <w:rPr>
          <w:rFonts w:eastAsia="Times New Roman" w:cs="Arial"/>
          <w:color w:val="2A2A2A"/>
          <w:lang w:eastAsia="en-ZA"/>
        </w:rPr>
        <w:t>Second biggest expenditure component in government</w:t>
      </w:r>
      <w:r w:rsidR="00FA1C1A">
        <w:rPr>
          <w:rFonts w:eastAsia="Times New Roman" w:cs="Arial"/>
          <w:color w:val="2A2A2A"/>
          <w:lang w:eastAsia="en-ZA"/>
        </w:rPr>
        <w:t>’</w:t>
      </w:r>
      <w:r w:rsidRPr="00E4567F">
        <w:rPr>
          <w:rFonts w:eastAsia="Times New Roman" w:cs="Arial"/>
          <w:color w:val="2A2A2A"/>
          <w:lang w:eastAsia="en-ZA"/>
        </w:rPr>
        <w:t xml:space="preserve">s budget spending plans is households (social grants). Basically this is the grants paid to 17.5 million people in South Africa, while South African only has 4.9 million people paying personal income tax. This is an extremely skew ratio  with 3.6 people receiving social grants in South Africa for every 1 person paying personal income tax. Government needs to widen the personal income tax net, Ie getting more citizens to pay personal income tax. If the tax net is not spread wider, those paying the bulk of the personal income tax will surely start taking their money and go stay elsewhere as people </w:t>
      </w:r>
      <w:r w:rsidRPr="00E4567F">
        <w:rPr>
          <w:rFonts w:eastAsia="Times New Roman" w:cs="Arial"/>
          <w:color w:val="2A2A2A"/>
          <w:lang w:eastAsia="en-ZA"/>
        </w:rPr>
        <w:lastRenderedPageBreak/>
        <w:t>will not continue to except that they are basically funding social grants with their tax money while government corruption remains rife, poor service delivery continues and state infrastructure is falling apart. The summary below shows the government expenditure per category as well as the percentage of total expenditure in brackets:</w:t>
      </w:r>
    </w:p>
    <w:p w14:paraId="4E018EBC" w14:textId="77777777" w:rsidR="00E4567F" w:rsidRPr="00E4567F" w:rsidRDefault="00E4567F" w:rsidP="00E4567F">
      <w:pPr>
        <w:numPr>
          <w:ilvl w:val="0"/>
          <w:numId w:val="14"/>
        </w:numPr>
        <w:tabs>
          <w:tab w:val="clear" w:pos="720"/>
        </w:tabs>
        <w:spacing w:before="120" w:after="120"/>
        <w:ind w:left="397" w:hanging="284"/>
        <w:jc w:val="both"/>
        <w:rPr>
          <w:rFonts w:eastAsia="Times New Roman" w:cs="Arial"/>
          <w:lang w:eastAsia="en-ZA"/>
        </w:rPr>
      </w:pPr>
      <w:r w:rsidRPr="00E4567F">
        <w:rPr>
          <w:rFonts w:eastAsia="Times New Roman" w:cs="Arial"/>
          <w:color w:val="2A2A2A"/>
          <w:lang w:eastAsia="en-ZA"/>
        </w:rPr>
        <w:t>Compensation of employees: R 627 126 243 822       ( 35.16%)</w:t>
      </w:r>
    </w:p>
    <w:p w14:paraId="2CCDAB0C" w14:textId="77777777" w:rsidR="00E4567F" w:rsidRPr="00E4567F" w:rsidRDefault="00E4567F" w:rsidP="00E4567F">
      <w:pPr>
        <w:numPr>
          <w:ilvl w:val="0"/>
          <w:numId w:val="14"/>
        </w:numPr>
        <w:tabs>
          <w:tab w:val="clear" w:pos="720"/>
        </w:tabs>
        <w:spacing w:before="120" w:after="120"/>
        <w:ind w:left="397" w:hanging="284"/>
        <w:jc w:val="both"/>
        <w:rPr>
          <w:rFonts w:eastAsia="Times New Roman" w:cs="Arial"/>
          <w:lang w:eastAsia="en-ZA"/>
        </w:rPr>
      </w:pPr>
      <w:r w:rsidRPr="00E4567F">
        <w:rPr>
          <w:rFonts w:eastAsia="Times New Roman" w:cs="Arial"/>
          <w:color w:val="2A2A2A"/>
          <w:lang w:eastAsia="en-ZA"/>
        </w:rPr>
        <w:t>Households  (Social Grants): R 308 572 724 591       (17.30%)</w:t>
      </w:r>
    </w:p>
    <w:p w14:paraId="6927C2A6" w14:textId="77777777" w:rsidR="00E4567F" w:rsidRPr="00E4567F" w:rsidRDefault="00E4567F" w:rsidP="00E4567F">
      <w:pPr>
        <w:numPr>
          <w:ilvl w:val="0"/>
          <w:numId w:val="14"/>
        </w:numPr>
        <w:tabs>
          <w:tab w:val="clear" w:pos="720"/>
        </w:tabs>
        <w:spacing w:before="120" w:after="120"/>
        <w:ind w:left="397" w:hanging="284"/>
        <w:jc w:val="both"/>
        <w:rPr>
          <w:rFonts w:eastAsia="Times New Roman" w:cs="Arial"/>
          <w:lang w:eastAsia="en-ZA"/>
        </w:rPr>
      </w:pPr>
      <w:r w:rsidRPr="00E4567F">
        <w:rPr>
          <w:rFonts w:eastAsia="Times New Roman" w:cs="Arial"/>
          <w:color w:val="2A2A2A"/>
          <w:lang w:eastAsia="en-ZA"/>
        </w:rPr>
        <w:t>Goods and services: R 251 043 384 425             (14.07%)</w:t>
      </w:r>
    </w:p>
    <w:p w14:paraId="35634B99" w14:textId="77777777" w:rsidR="00E4567F" w:rsidRPr="00E4567F" w:rsidRDefault="00E4567F" w:rsidP="00E4567F">
      <w:pPr>
        <w:numPr>
          <w:ilvl w:val="0"/>
          <w:numId w:val="14"/>
        </w:numPr>
        <w:tabs>
          <w:tab w:val="clear" w:pos="720"/>
        </w:tabs>
        <w:spacing w:before="120" w:after="120"/>
        <w:ind w:left="397" w:hanging="284"/>
        <w:jc w:val="both"/>
        <w:rPr>
          <w:rFonts w:eastAsia="Times New Roman" w:cs="Arial"/>
          <w:lang w:eastAsia="en-ZA"/>
        </w:rPr>
      </w:pPr>
      <w:r w:rsidRPr="00E4567F">
        <w:rPr>
          <w:rFonts w:eastAsia="Times New Roman" w:cs="Arial"/>
          <w:color w:val="2A2A2A"/>
          <w:lang w:eastAsia="en-ZA"/>
        </w:rPr>
        <w:t>Interest and rent on land: R 209 398 747 370       (11.74%)</w:t>
      </w:r>
    </w:p>
    <w:p w14:paraId="3D57F8A2" w14:textId="77777777" w:rsidR="00E4567F" w:rsidRPr="00E4567F" w:rsidRDefault="00E4567F" w:rsidP="00E4567F">
      <w:pPr>
        <w:numPr>
          <w:ilvl w:val="0"/>
          <w:numId w:val="14"/>
        </w:numPr>
        <w:tabs>
          <w:tab w:val="clear" w:pos="720"/>
        </w:tabs>
        <w:spacing w:before="120" w:after="120"/>
        <w:ind w:left="397" w:hanging="284"/>
        <w:jc w:val="both"/>
        <w:rPr>
          <w:rFonts w:eastAsia="Times New Roman" w:cs="Arial"/>
          <w:lang w:eastAsia="en-ZA"/>
        </w:rPr>
      </w:pPr>
      <w:r w:rsidRPr="00E4567F">
        <w:rPr>
          <w:rFonts w:eastAsia="Times New Roman" w:cs="Arial"/>
          <w:color w:val="2A2A2A"/>
          <w:lang w:eastAsia="en-ZA"/>
        </w:rPr>
        <w:t>Provinces and municipalities: R 138 650 672 241       (7.77%)</w:t>
      </w:r>
    </w:p>
    <w:p w14:paraId="72EA46B3" w14:textId="77777777" w:rsidR="00E4567F" w:rsidRPr="00E4567F" w:rsidRDefault="00E4567F" w:rsidP="00E4567F">
      <w:pPr>
        <w:numPr>
          <w:ilvl w:val="0"/>
          <w:numId w:val="14"/>
        </w:numPr>
        <w:tabs>
          <w:tab w:val="clear" w:pos="720"/>
        </w:tabs>
        <w:spacing w:before="120" w:after="120"/>
        <w:ind w:left="397" w:hanging="284"/>
        <w:jc w:val="both"/>
        <w:rPr>
          <w:rFonts w:eastAsia="Times New Roman" w:cs="Arial"/>
          <w:lang w:eastAsia="en-ZA"/>
        </w:rPr>
      </w:pPr>
      <w:r w:rsidRPr="00E4567F">
        <w:rPr>
          <w:rFonts w:eastAsia="Times New Roman" w:cs="Arial"/>
          <w:color w:val="2A2A2A"/>
          <w:lang w:eastAsia="en-ZA"/>
        </w:rPr>
        <w:t>Buildings and other fixed structures: R 73 805 045 374        (4.14%)</w:t>
      </w:r>
    </w:p>
    <w:p w14:paraId="20A737CA" w14:textId="77777777" w:rsidR="00E4567F" w:rsidRPr="00E4567F" w:rsidRDefault="00E4567F" w:rsidP="00E4567F">
      <w:pPr>
        <w:numPr>
          <w:ilvl w:val="0"/>
          <w:numId w:val="14"/>
        </w:numPr>
        <w:tabs>
          <w:tab w:val="clear" w:pos="720"/>
        </w:tabs>
        <w:spacing w:before="120" w:after="120"/>
        <w:ind w:left="397" w:hanging="284"/>
        <w:jc w:val="both"/>
        <w:rPr>
          <w:rFonts w:eastAsia="Times New Roman" w:cs="Arial"/>
          <w:lang w:eastAsia="en-ZA"/>
        </w:rPr>
      </w:pPr>
      <w:r w:rsidRPr="00E4567F">
        <w:rPr>
          <w:rFonts w:eastAsia="Times New Roman" w:cs="Arial"/>
          <w:color w:val="2A2A2A"/>
          <w:lang w:eastAsia="en-ZA"/>
        </w:rPr>
        <w:t>Higher education institutions: R 46 642 009 080    ( 2.61%)</w:t>
      </w:r>
    </w:p>
    <w:p w14:paraId="4A14167A" w14:textId="77777777" w:rsidR="00E4567F" w:rsidRPr="00E4567F" w:rsidRDefault="00E4567F" w:rsidP="00E4567F">
      <w:pPr>
        <w:numPr>
          <w:ilvl w:val="0"/>
          <w:numId w:val="14"/>
        </w:numPr>
        <w:tabs>
          <w:tab w:val="clear" w:pos="720"/>
        </w:tabs>
        <w:spacing w:before="120" w:after="120"/>
        <w:ind w:left="397" w:hanging="284"/>
        <w:jc w:val="both"/>
        <w:rPr>
          <w:rFonts w:eastAsia="Times New Roman" w:cs="Arial"/>
          <w:lang w:eastAsia="en-ZA"/>
        </w:rPr>
      </w:pPr>
      <w:r w:rsidRPr="00E4567F">
        <w:rPr>
          <w:rFonts w:eastAsia="Times New Roman" w:cs="Arial"/>
          <w:color w:val="2A2A2A"/>
          <w:lang w:eastAsia="en-ZA"/>
        </w:rPr>
        <w:t>Non-profit institutions: R 37 436 509 158          (2.10%)</w:t>
      </w:r>
    </w:p>
    <w:p w14:paraId="7FAF14D7" w14:textId="77777777" w:rsidR="00E4567F" w:rsidRPr="00E4567F" w:rsidRDefault="00E4567F" w:rsidP="00E4567F">
      <w:pPr>
        <w:numPr>
          <w:ilvl w:val="0"/>
          <w:numId w:val="14"/>
        </w:numPr>
        <w:tabs>
          <w:tab w:val="clear" w:pos="720"/>
        </w:tabs>
        <w:spacing w:before="120" w:after="120"/>
        <w:ind w:left="397" w:hanging="284"/>
        <w:jc w:val="both"/>
        <w:rPr>
          <w:rFonts w:eastAsia="Times New Roman" w:cs="Arial"/>
          <w:lang w:eastAsia="en-ZA"/>
        </w:rPr>
      </w:pPr>
      <w:r w:rsidRPr="00E4567F">
        <w:rPr>
          <w:rFonts w:eastAsia="Times New Roman" w:cs="Arial"/>
          <w:color w:val="2A2A2A"/>
          <w:lang w:eastAsia="en-ZA"/>
        </w:rPr>
        <w:t>Public corporations and private enterprises: R 35 923 975 053    ( 2.01%)</w:t>
      </w:r>
    </w:p>
    <w:p w14:paraId="7ABF8A17" w14:textId="77777777" w:rsidR="00E4567F" w:rsidRPr="00E4567F" w:rsidRDefault="00E4567F" w:rsidP="00E4567F">
      <w:pPr>
        <w:numPr>
          <w:ilvl w:val="0"/>
          <w:numId w:val="14"/>
        </w:numPr>
        <w:tabs>
          <w:tab w:val="clear" w:pos="720"/>
        </w:tabs>
        <w:spacing w:before="120" w:after="120"/>
        <w:ind w:left="397" w:hanging="284"/>
        <w:jc w:val="both"/>
        <w:rPr>
          <w:rFonts w:eastAsia="Times New Roman" w:cs="Arial"/>
          <w:lang w:eastAsia="en-ZA"/>
        </w:rPr>
      </w:pPr>
      <w:r w:rsidRPr="00E4567F">
        <w:rPr>
          <w:rFonts w:eastAsia="Times New Roman" w:cs="Arial"/>
          <w:color w:val="2A2A2A"/>
          <w:lang w:eastAsia="en-ZA"/>
        </w:rPr>
        <w:t>Departmental agencies and accounts: R 28 058 644 748          (1.57%)</w:t>
      </w:r>
    </w:p>
    <w:p w14:paraId="21219CA7" w14:textId="77777777" w:rsidR="00E4567F" w:rsidRPr="00E4567F" w:rsidRDefault="00E4567F" w:rsidP="00E4567F">
      <w:pPr>
        <w:numPr>
          <w:ilvl w:val="0"/>
          <w:numId w:val="14"/>
        </w:numPr>
        <w:tabs>
          <w:tab w:val="clear" w:pos="720"/>
        </w:tabs>
        <w:spacing w:before="120" w:after="120"/>
        <w:ind w:left="397" w:hanging="284"/>
        <w:jc w:val="both"/>
        <w:rPr>
          <w:rFonts w:eastAsia="Times New Roman" w:cs="Arial"/>
          <w:lang w:eastAsia="en-ZA"/>
        </w:rPr>
      </w:pPr>
      <w:r w:rsidRPr="00E4567F">
        <w:rPr>
          <w:rFonts w:eastAsia="Times New Roman" w:cs="Arial"/>
          <w:color w:val="2A2A2A"/>
          <w:lang w:eastAsia="en-ZA"/>
        </w:rPr>
        <w:t>Machinery and equipment: R 22 148 007 613          (1.24%)</w:t>
      </w:r>
    </w:p>
    <w:p w14:paraId="218375BB" w14:textId="77777777" w:rsidR="00E4567F" w:rsidRPr="00E4567F" w:rsidRDefault="00E4567F" w:rsidP="00E4567F">
      <w:pPr>
        <w:numPr>
          <w:ilvl w:val="0"/>
          <w:numId w:val="14"/>
        </w:numPr>
        <w:tabs>
          <w:tab w:val="clear" w:pos="720"/>
        </w:tabs>
        <w:spacing w:before="120" w:after="120"/>
        <w:ind w:left="397" w:hanging="284"/>
        <w:jc w:val="both"/>
        <w:rPr>
          <w:rFonts w:eastAsia="Times New Roman" w:cs="Arial"/>
          <w:lang w:eastAsia="en-ZA"/>
        </w:rPr>
      </w:pPr>
      <w:r w:rsidRPr="00E4567F">
        <w:rPr>
          <w:rFonts w:eastAsia="Times New Roman" w:cs="Arial"/>
          <w:color w:val="2A2A2A"/>
          <w:lang w:eastAsia="en-ZA"/>
        </w:rPr>
        <w:t>Foreign governments and international organisations: R 2 409 446 000        ( 0.14%)</w:t>
      </w:r>
    </w:p>
    <w:p w14:paraId="4B485037" w14:textId="77777777" w:rsidR="00E4567F" w:rsidRPr="00E4567F" w:rsidRDefault="00E4567F" w:rsidP="00E4567F">
      <w:pPr>
        <w:numPr>
          <w:ilvl w:val="0"/>
          <w:numId w:val="14"/>
        </w:numPr>
        <w:tabs>
          <w:tab w:val="clear" w:pos="720"/>
        </w:tabs>
        <w:spacing w:before="120" w:after="120"/>
        <w:ind w:left="397" w:hanging="284"/>
        <w:jc w:val="both"/>
        <w:rPr>
          <w:rFonts w:eastAsia="Times New Roman" w:cs="Arial"/>
          <w:lang w:eastAsia="en-ZA"/>
        </w:rPr>
      </w:pPr>
      <w:r w:rsidRPr="00E4567F">
        <w:rPr>
          <w:rFonts w:eastAsia="Times New Roman" w:cs="Arial"/>
          <w:color w:val="2A2A2A"/>
          <w:lang w:eastAsia="en-ZA"/>
        </w:rPr>
        <w:t>Software and other intangible assets: R 1 520 491 346          (0.09%)</w:t>
      </w:r>
    </w:p>
    <w:p w14:paraId="303A1A2F" w14:textId="77777777" w:rsidR="00E4567F" w:rsidRPr="00E4567F" w:rsidRDefault="00E4567F" w:rsidP="00E4567F">
      <w:pPr>
        <w:numPr>
          <w:ilvl w:val="0"/>
          <w:numId w:val="14"/>
        </w:numPr>
        <w:tabs>
          <w:tab w:val="clear" w:pos="720"/>
        </w:tabs>
        <w:spacing w:before="120" w:after="120"/>
        <w:ind w:left="397" w:hanging="284"/>
        <w:jc w:val="both"/>
        <w:rPr>
          <w:rFonts w:eastAsia="Times New Roman" w:cs="Arial"/>
          <w:lang w:eastAsia="en-ZA"/>
        </w:rPr>
      </w:pPr>
      <w:r w:rsidRPr="00E4567F">
        <w:rPr>
          <w:rFonts w:eastAsia="Times New Roman" w:cs="Arial"/>
          <w:color w:val="2A2A2A"/>
          <w:lang w:eastAsia="en-ZA"/>
        </w:rPr>
        <w:t>Land and sub-soil assets: R 597 915 000              (0.03%)</w:t>
      </w:r>
    </w:p>
    <w:p w14:paraId="400B4C80" w14:textId="77777777" w:rsidR="00E4567F" w:rsidRPr="00E4567F" w:rsidRDefault="00E4567F" w:rsidP="00E4567F">
      <w:pPr>
        <w:numPr>
          <w:ilvl w:val="0"/>
          <w:numId w:val="14"/>
        </w:numPr>
        <w:tabs>
          <w:tab w:val="clear" w:pos="720"/>
        </w:tabs>
        <w:spacing w:before="120" w:after="120"/>
        <w:ind w:left="397" w:hanging="284"/>
        <w:jc w:val="both"/>
        <w:rPr>
          <w:rFonts w:eastAsia="Times New Roman" w:cs="Arial"/>
          <w:lang w:eastAsia="en-ZA"/>
        </w:rPr>
      </w:pPr>
      <w:r w:rsidRPr="00E4567F">
        <w:rPr>
          <w:rFonts w:eastAsia="Times New Roman" w:cs="Arial"/>
          <w:color w:val="2A2A2A"/>
          <w:lang w:eastAsia="en-ZA"/>
        </w:rPr>
        <w:t>Other assets: R 385 517 680             (0.02%)</w:t>
      </w:r>
    </w:p>
    <w:p w14:paraId="0C8292A9" w14:textId="5A668491" w:rsidR="00E4567F" w:rsidRPr="00E4567F" w:rsidRDefault="00E4567F" w:rsidP="00E4567F">
      <w:pPr>
        <w:spacing w:before="120" w:after="120"/>
        <w:jc w:val="both"/>
        <w:rPr>
          <w:rFonts w:eastAsia="Times New Roman" w:cs="Arial"/>
          <w:lang w:eastAsia="en-ZA"/>
        </w:rPr>
      </w:pPr>
      <w:r w:rsidRPr="00E4567F">
        <w:rPr>
          <w:rFonts w:eastAsia="Times New Roman" w:cs="Arial"/>
          <w:color w:val="2A2A2A"/>
          <w:lang w:eastAsia="en-ZA"/>
        </w:rPr>
        <w:br/>
        <w:t>If government does find a political acceptable way to reduce the wag bill without upsetting unions, government will struggle to bring down or reduce their budget deficit as mentioned in the 20 February 2019 update, and they will have to continue to borrow to the tune of R1.1 billion every single working  day of the year. Tough times for South Africa</w:t>
      </w:r>
      <w:r w:rsidR="00FA1C1A">
        <w:rPr>
          <w:rFonts w:eastAsia="Times New Roman" w:cs="Arial"/>
          <w:color w:val="2A2A2A"/>
          <w:lang w:eastAsia="en-ZA"/>
        </w:rPr>
        <w:t>’</w:t>
      </w:r>
      <w:r w:rsidRPr="00E4567F">
        <w:rPr>
          <w:rFonts w:eastAsia="Times New Roman" w:cs="Arial"/>
          <w:color w:val="2A2A2A"/>
          <w:lang w:eastAsia="en-ZA"/>
        </w:rPr>
        <w:t>s government and its finances</w:t>
      </w:r>
    </w:p>
    <w:p w14:paraId="08410DCD" w14:textId="43234D61" w:rsidR="00E4567F" w:rsidRPr="00E4567F" w:rsidRDefault="00E4567F" w:rsidP="00E4567F">
      <w:pPr>
        <w:spacing w:before="120" w:after="120"/>
        <w:jc w:val="both"/>
        <w:outlineLvl w:val="1"/>
        <w:rPr>
          <w:rFonts w:eastAsia="Times New Roman" w:cs="Arial"/>
          <w:b/>
          <w:bCs/>
          <w:lang w:eastAsia="en-ZA"/>
        </w:rPr>
      </w:pPr>
      <w:r w:rsidRPr="00E4567F">
        <w:rPr>
          <w:rFonts w:eastAsia="Times New Roman" w:cs="Arial"/>
          <w:b/>
          <w:bCs/>
          <w:lang w:eastAsia="en-ZA"/>
        </w:rPr>
        <w:t>20 February 2019:  Government</w:t>
      </w:r>
      <w:r w:rsidR="00FA1C1A">
        <w:rPr>
          <w:rFonts w:eastAsia="Times New Roman" w:cs="Arial"/>
          <w:b/>
          <w:bCs/>
          <w:lang w:eastAsia="en-ZA"/>
        </w:rPr>
        <w:t>’</w:t>
      </w:r>
      <w:r w:rsidRPr="00E4567F">
        <w:rPr>
          <w:rFonts w:eastAsia="Times New Roman" w:cs="Arial"/>
          <w:b/>
          <w:bCs/>
          <w:lang w:eastAsia="en-ZA"/>
        </w:rPr>
        <w:t>s estimated revenue and spending up to 2022</w:t>
      </w:r>
    </w:p>
    <w:p w14:paraId="42BB31FC" w14:textId="3BE99819" w:rsidR="00E4567F" w:rsidRPr="00E4567F" w:rsidRDefault="00E4567F" w:rsidP="00E4567F">
      <w:pPr>
        <w:spacing w:before="120" w:after="120"/>
        <w:jc w:val="both"/>
        <w:rPr>
          <w:rFonts w:eastAsia="Times New Roman" w:cs="Arial"/>
          <w:lang w:eastAsia="en-ZA"/>
        </w:rPr>
      </w:pPr>
      <w:r w:rsidRPr="00E4567F">
        <w:rPr>
          <w:rFonts w:eastAsia="Times New Roman" w:cs="Arial"/>
          <w:color w:val="2A2A2A"/>
          <w:lang w:eastAsia="en-ZA"/>
        </w:rPr>
        <w:t>We take a look at the latest forecasts and estimates of government revenue and expenditure up to the year 2022. And there is little to no hope for South Africa</w:t>
      </w:r>
      <w:r w:rsidR="00FA1C1A">
        <w:rPr>
          <w:rFonts w:eastAsia="Times New Roman" w:cs="Arial"/>
          <w:color w:val="2A2A2A"/>
          <w:lang w:eastAsia="en-ZA"/>
        </w:rPr>
        <w:t>’</w:t>
      </w:r>
      <w:r w:rsidRPr="00E4567F">
        <w:rPr>
          <w:rFonts w:eastAsia="Times New Roman" w:cs="Arial"/>
          <w:color w:val="2A2A2A"/>
          <w:lang w:eastAsia="en-ZA"/>
        </w:rPr>
        <w:t>s government finances in the short term, with expenditure estimates far outstripping expected revenue collection from 2019 to 2022. The image below obtained from the National Treasury shows the predicted revenue and spending of government for the next couple of years.</w:t>
      </w:r>
    </w:p>
    <w:p w14:paraId="22797973" w14:textId="77777777" w:rsidR="00E4567F" w:rsidRPr="00E4567F" w:rsidRDefault="00E4567F" w:rsidP="00E4567F">
      <w:pPr>
        <w:spacing w:before="120" w:after="120"/>
        <w:jc w:val="both"/>
        <w:rPr>
          <w:rFonts w:eastAsia="Times New Roman" w:cs="Arial"/>
          <w:lang w:eastAsia="en-ZA"/>
        </w:rPr>
      </w:pPr>
      <w:r w:rsidRPr="00E4567F">
        <w:rPr>
          <w:rFonts w:eastAsia="Times New Roman" w:cs="Arial"/>
          <w:noProof/>
          <w:lang w:eastAsia="en-ZA"/>
        </w:rPr>
        <w:lastRenderedPageBreak/>
        <w:drawing>
          <wp:inline distT="0" distB="0" distL="0" distR="0" wp14:anchorId="2BB46676" wp14:editId="6B8D0DFA">
            <wp:extent cx="5759718" cy="3398520"/>
            <wp:effectExtent l="0" t="0" r="0" b="0"/>
            <wp:docPr id="13" name="Picture 13" descr="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Picture"/>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5782827" cy="3412156"/>
                    </a:xfrm>
                    <a:prstGeom prst="rect">
                      <a:avLst/>
                    </a:prstGeom>
                    <a:noFill/>
                    <a:ln>
                      <a:noFill/>
                    </a:ln>
                  </pic:spPr>
                </pic:pic>
              </a:graphicData>
            </a:graphic>
          </wp:inline>
        </w:drawing>
      </w:r>
    </w:p>
    <w:p w14:paraId="2934EFA5" w14:textId="77777777" w:rsidR="00E4567F" w:rsidRPr="00E4567F" w:rsidRDefault="00E4567F" w:rsidP="00E4567F">
      <w:pPr>
        <w:spacing w:before="120" w:after="120"/>
        <w:jc w:val="both"/>
        <w:rPr>
          <w:rFonts w:eastAsia="Times New Roman" w:cs="Arial"/>
          <w:lang w:eastAsia="en-ZA"/>
        </w:rPr>
      </w:pPr>
      <w:r w:rsidRPr="00E4567F">
        <w:rPr>
          <w:rFonts w:eastAsia="Times New Roman" w:cs="Arial"/>
          <w:color w:val="2A2A2A"/>
          <w:lang w:eastAsia="en-ZA"/>
        </w:rPr>
        <w:t>So lets take a look at the expected revenue and spending of government for the next three years:</w:t>
      </w:r>
      <w:r w:rsidRPr="00E4567F">
        <w:rPr>
          <w:rFonts w:eastAsia="Times New Roman" w:cs="Arial"/>
          <w:color w:val="2A2A2A"/>
          <w:lang w:eastAsia="en-ZA"/>
        </w:rPr>
        <w:br/>
      </w:r>
      <w:r w:rsidRPr="00E4567F">
        <w:rPr>
          <w:rFonts w:eastAsia="Times New Roman" w:cs="Arial"/>
          <w:color w:val="2A2A2A"/>
          <w:lang w:eastAsia="en-ZA"/>
        </w:rPr>
        <w:br/>
      </w:r>
      <w:r w:rsidRPr="00E4567F">
        <w:rPr>
          <w:rFonts w:eastAsia="Times New Roman" w:cs="Arial"/>
          <w:b/>
          <w:bCs/>
          <w:color w:val="2A2A2A"/>
          <w:lang w:eastAsia="en-ZA"/>
        </w:rPr>
        <w:t>2019/2020</w:t>
      </w:r>
    </w:p>
    <w:p w14:paraId="6EDA4FA0" w14:textId="77777777" w:rsidR="00E4567F" w:rsidRPr="00E4567F" w:rsidRDefault="00E4567F" w:rsidP="00E4567F">
      <w:pPr>
        <w:numPr>
          <w:ilvl w:val="0"/>
          <w:numId w:val="15"/>
        </w:numPr>
        <w:tabs>
          <w:tab w:val="clear" w:pos="720"/>
        </w:tabs>
        <w:spacing w:before="120" w:after="120"/>
        <w:ind w:left="397" w:hanging="284"/>
        <w:jc w:val="both"/>
        <w:rPr>
          <w:rFonts w:eastAsia="Times New Roman" w:cs="Arial"/>
          <w:lang w:eastAsia="en-ZA"/>
        </w:rPr>
      </w:pPr>
      <w:r w:rsidRPr="00E4567F">
        <w:rPr>
          <w:rFonts w:eastAsia="Times New Roman" w:cs="Arial"/>
          <w:color w:val="2A2A2A"/>
          <w:lang w:eastAsia="en-ZA"/>
        </w:rPr>
        <w:t>Revenue: R1.583 trillion</w:t>
      </w:r>
    </w:p>
    <w:p w14:paraId="482DA04A" w14:textId="77777777" w:rsidR="00E4567F" w:rsidRPr="00E4567F" w:rsidRDefault="00E4567F" w:rsidP="00E4567F">
      <w:pPr>
        <w:numPr>
          <w:ilvl w:val="0"/>
          <w:numId w:val="15"/>
        </w:numPr>
        <w:tabs>
          <w:tab w:val="clear" w:pos="720"/>
        </w:tabs>
        <w:spacing w:before="120" w:after="120"/>
        <w:ind w:left="397" w:hanging="284"/>
        <w:jc w:val="both"/>
        <w:rPr>
          <w:rFonts w:eastAsia="Times New Roman" w:cs="Arial"/>
          <w:lang w:eastAsia="en-ZA"/>
        </w:rPr>
      </w:pPr>
      <w:r w:rsidRPr="00E4567F">
        <w:rPr>
          <w:rFonts w:eastAsia="Times New Roman" w:cs="Arial"/>
          <w:color w:val="2A2A2A"/>
          <w:lang w:eastAsia="en-ZA"/>
        </w:rPr>
        <w:t>Expenditure: R1.826 trillion</w:t>
      </w:r>
    </w:p>
    <w:p w14:paraId="196B17C5" w14:textId="77777777" w:rsidR="00E4567F" w:rsidRPr="00E4567F" w:rsidRDefault="00E4567F" w:rsidP="00E4567F">
      <w:pPr>
        <w:numPr>
          <w:ilvl w:val="0"/>
          <w:numId w:val="15"/>
        </w:numPr>
        <w:tabs>
          <w:tab w:val="clear" w:pos="720"/>
        </w:tabs>
        <w:spacing w:before="120" w:after="120"/>
        <w:ind w:left="397" w:hanging="284"/>
        <w:jc w:val="both"/>
        <w:rPr>
          <w:rFonts w:eastAsia="Times New Roman" w:cs="Arial"/>
          <w:lang w:eastAsia="en-ZA"/>
        </w:rPr>
      </w:pPr>
      <w:r w:rsidRPr="00E4567F">
        <w:rPr>
          <w:rFonts w:eastAsia="Times New Roman" w:cs="Arial"/>
          <w:color w:val="2A2A2A"/>
          <w:lang w:eastAsia="en-ZA"/>
        </w:rPr>
        <w:t>Deficit:  R243 billion</w:t>
      </w:r>
    </w:p>
    <w:p w14:paraId="28340D0E" w14:textId="12EE33EA" w:rsidR="00E4567F" w:rsidRDefault="00E4567F" w:rsidP="00E4567F">
      <w:pPr>
        <w:spacing w:before="120" w:after="120"/>
        <w:jc w:val="both"/>
        <w:rPr>
          <w:rFonts w:eastAsia="Times New Roman" w:cs="Arial"/>
          <w:color w:val="2A2A2A"/>
          <w:lang w:eastAsia="en-ZA"/>
        </w:rPr>
      </w:pPr>
      <w:r w:rsidRPr="00E4567F">
        <w:rPr>
          <w:rFonts w:eastAsia="Times New Roman" w:cs="Arial"/>
          <w:color w:val="2A2A2A"/>
          <w:lang w:eastAsia="en-ZA"/>
        </w:rPr>
        <w:t>What this means is that of the 220 odd working days a year, South Africa</w:t>
      </w:r>
      <w:r w:rsidR="00FA1C1A">
        <w:rPr>
          <w:rFonts w:eastAsia="Times New Roman" w:cs="Arial"/>
          <w:color w:val="2A2A2A"/>
          <w:lang w:eastAsia="en-ZA"/>
        </w:rPr>
        <w:t>’</w:t>
      </w:r>
      <w:r w:rsidRPr="00E4567F">
        <w:rPr>
          <w:rFonts w:eastAsia="Times New Roman" w:cs="Arial"/>
          <w:color w:val="2A2A2A"/>
          <w:lang w:eastAsia="en-ZA"/>
        </w:rPr>
        <w:t>s government will be borrowing  around R1.1 billion a day. And all that money plus interest needs to be paid back. South Africa</w:t>
      </w:r>
      <w:r w:rsidR="00FA1C1A">
        <w:rPr>
          <w:rFonts w:eastAsia="Times New Roman" w:cs="Arial"/>
          <w:color w:val="2A2A2A"/>
          <w:lang w:eastAsia="en-ZA"/>
        </w:rPr>
        <w:t>’</w:t>
      </w:r>
      <w:r w:rsidRPr="00E4567F">
        <w:rPr>
          <w:rFonts w:eastAsia="Times New Roman" w:cs="Arial"/>
          <w:color w:val="2A2A2A"/>
          <w:lang w:eastAsia="en-ZA"/>
        </w:rPr>
        <w:t>s government</w:t>
      </w:r>
      <w:r w:rsidR="00FA1C1A">
        <w:rPr>
          <w:rFonts w:eastAsia="Times New Roman" w:cs="Arial"/>
          <w:color w:val="2A2A2A"/>
          <w:lang w:eastAsia="en-ZA"/>
        </w:rPr>
        <w:t xml:space="preserve"> “</w:t>
      </w:r>
      <w:r w:rsidRPr="00E4567F">
        <w:rPr>
          <w:rFonts w:eastAsia="Times New Roman" w:cs="Arial"/>
          <w:color w:val="2A2A2A"/>
          <w:lang w:eastAsia="en-ZA"/>
        </w:rPr>
        <w:t>s debt servicing costs will soar and in future more money will be paid servicing debt instead of delivering services. If this is not the wake up call needed for South Africans and the South African government to curb its spending (especially on bailing out SOE</w:t>
      </w:r>
      <w:r w:rsidR="00FA1C1A">
        <w:rPr>
          <w:rFonts w:eastAsia="Times New Roman" w:cs="Arial"/>
          <w:color w:val="2A2A2A"/>
          <w:lang w:eastAsia="en-ZA"/>
        </w:rPr>
        <w:t>’</w:t>
      </w:r>
      <w:r w:rsidRPr="00E4567F">
        <w:rPr>
          <w:rFonts w:eastAsia="Times New Roman" w:cs="Arial"/>
          <w:color w:val="2A2A2A"/>
          <w:lang w:eastAsia="en-ZA"/>
        </w:rPr>
        <w:t>s such as ESKOM, SAA, Denel etc) then nothing will shake this government out of the rut they are stuck in</w:t>
      </w:r>
      <w:r>
        <w:rPr>
          <w:rFonts w:eastAsia="Times New Roman" w:cs="Arial"/>
          <w:color w:val="2A2A2A"/>
          <w:lang w:eastAsia="en-ZA"/>
        </w:rPr>
        <w:t>.</w:t>
      </w:r>
    </w:p>
    <w:p w14:paraId="3C7B8EB9" w14:textId="588E79F1" w:rsidR="00E4567F" w:rsidRPr="00E4567F" w:rsidRDefault="00E4567F" w:rsidP="00E4567F">
      <w:pPr>
        <w:spacing w:before="120" w:after="120"/>
        <w:jc w:val="both"/>
        <w:rPr>
          <w:rFonts w:eastAsia="Times New Roman" w:cs="Arial"/>
          <w:lang w:eastAsia="en-ZA"/>
        </w:rPr>
      </w:pPr>
      <w:r w:rsidRPr="00E4567F">
        <w:rPr>
          <w:rFonts w:eastAsia="Times New Roman" w:cs="Arial"/>
          <w:b/>
          <w:bCs/>
          <w:color w:val="2A2A2A"/>
          <w:lang w:eastAsia="en-ZA"/>
        </w:rPr>
        <w:t>2020/2021</w:t>
      </w:r>
    </w:p>
    <w:p w14:paraId="6B1F24D9" w14:textId="77777777" w:rsidR="00E4567F" w:rsidRPr="00E4567F" w:rsidRDefault="00E4567F" w:rsidP="00E4567F">
      <w:pPr>
        <w:numPr>
          <w:ilvl w:val="0"/>
          <w:numId w:val="16"/>
        </w:numPr>
        <w:tabs>
          <w:tab w:val="clear" w:pos="720"/>
        </w:tabs>
        <w:spacing w:before="120" w:after="120"/>
        <w:ind w:left="397" w:hanging="284"/>
        <w:jc w:val="both"/>
        <w:rPr>
          <w:rFonts w:eastAsia="Times New Roman" w:cs="Arial"/>
          <w:lang w:eastAsia="en-ZA"/>
        </w:rPr>
      </w:pPr>
      <w:r w:rsidRPr="00E4567F">
        <w:rPr>
          <w:rFonts w:eastAsia="Times New Roman" w:cs="Arial"/>
          <w:color w:val="2A2A2A"/>
          <w:lang w:eastAsia="en-ZA"/>
        </w:rPr>
        <w:t>Revenue: R1.696 trillion</w:t>
      </w:r>
    </w:p>
    <w:p w14:paraId="24D58A47" w14:textId="77777777" w:rsidR="00E4567F" w:rsidRPr="00E4567F" w:rsidRDefault="00E4567F" w:rsidP="00E4567F">
      <w:pPr>
        <w:numPr>
          <w:ilvl w:val="0"/>
          <w:numId w:val="16"/>
        </w:numPr>
        <w:tabs>
          <w:tab w:val="clear" w:pos="720"/>
        </w:tabs>
        <w:spacing w:before="120" w:after="120"/>
        <w:ind w:left="397" w:hanging="284"/>
        <w:jc w:val="both"/>
        <w:rPr>
          <w:rFonts w:eastAsia="Times New Roman" w:cs="Arial"/>
          <w:lang w:eastAsia="en-ZA"/>
        </w:rPr>
      </w:pPr>
      <w:r w:rsidRPr="00E4567F">
        <w:rPr>
          <w:rFonts w:eastAsia="Times New Roman" w:cs="Arial"/>
          <w:color w:val="2A2A2A"/>
          <w:lang w:eastAsia="en-ZA"/>
        </w:rPr>
        <w:t>Expenditure: R1.949 trillion</w:t>
      </w:r>
    </w:p>
    <w:p w14:paraId="2F267992" w14:textId="77777777" w:rsidR="00E4567F" w:rsidRPr="00E4567F" w:rsidRDefault="00E4567F" w:rsidP="00E4567F">
      <w:pPr>
        <w:numPr>
          <w:ilvl w:val="0"/>
          <w:numId w:val="16"/>
        </w:numPr>
        <w:tabs>
          <w:tab w:val="clear" w:pos="720"/>
        </w:tabs>
        <w:spacing w:before="120" w:after="120"/>
        <w:ind w:left="397" w:hanging="284"/>
        <w:jc w:val="both"/>
        <w:rPr>
          <w:rFonts w:eastAsia="Times New Roman" w:cs="Arial"/>
          <w:lang w:eastAsia="en-ZA"/>
        </w:rPr>
      </w:pPr>
      <w:r w:rsidRPr="00E4567F">
        <w:rPr>
          <w:rFonts w:eastAsia="Times New Roman" w:cs="Arial"/>
          <w:color w:val="2A2A2A"/>
          <w:lang w:eastAsia="en-ZA"/>
        </w:rPr>
        <w:t>Deficit:  R253 billion</w:t>
      </w:r>
    </w:p>
    <w:p w14:paraId="72129D38" w14:textId="77777777" w:rsidR="00E4567F" w:rsidRPr="00E4567F" w:rsidRDefault="00E4567F" w:rsidP="00E4567F">
      <w:pPr>
        <w:spacing w:before="120" w:after="120"/>
        <w:jc w:val="both"/>
        <w:rPr>
          <w:rFonts w:eastAsia="Times New Roman" w:cs="Arial"/>
          <w:lang w:eastAsia="en-ZA"/>
        </w:rPr>
      </w:pPr>
      <w:r w:rsidRPr="00E4567F">
        <w:rPr>
          <w:rFonts w:eastAsia="Times New Roman" w:cs="Arial"/>
          <w:lang w:eastAsia="en-ZA"/>
        </w:rPr>
        <w:br/>
      </w:r>
      <w:r w:rsidRPr="00E4567F">
        <w:rPr>
          <w:rFonts w:eastAsia="Times New Roman" w:cs="Arial"/>
          <w:b/>
          <w:bCs/>
          <w:color w:val="2A2A2A"/>
          <w:lang w:eastAsia="en-ZA"/>
        </w:rPr>
        <w:t>2021/2022</w:t>
      </w:r>
    </w:p>
    <w:p w14:paraId="4F265C9D" w14:textId="77777777" w:rsidR="00E4567F" w:rsidRPr="00E4567F" w:rsidRDefault="00E4567F" w:rsidP="00E4567F">
      <w:pPr>
        <w:numPr>
          <w:ilvl w:val="0"/>
          <w:numId w:val="17"/>
        </w:numPr>
        <w:tabs>
          <w:tab w:val="clear" w:pos="720"/>
        </w:tabs>
        <w:spacing w:before="120" w:after="120"/>
        <w:ind w:left="397" w:hanging="284"/>
        <w:jc w:val="both"/>
        <w:rPr>
          <w:rFonts w:eastAsia="Times New Roman" w:cs="Arial"/>
          <w:lang w:eastAsia="en-ZA"/>
        </w:rPr>
      </w:pPr>
      <w:r w:rsidRPr="00E4567F">
        <w:rPr>
          <w:rFonts w:eastAsia="Times New Roman" w:cs="Arial"/>
          <w:color w:val="2A2A2A"/>
          <w:lang w:eastAsia="en-ZA"/>
        </w:rPr>
        <w:t>Revenue: R1.837 trillion</w:t>
      </w:r>
    </w:p>
    <w:p w14:paraId="0DBBC2D6" w14:textId="77777777" w:rsidR="00E4567F" w:rsidRPr="00E4567F" w:rsidRDefault="00E4567F" w:rsidP="00E4567F">
      <w:pPr>
        <w:numPr>
          <w:ilvl w:val="0"/>
          <w:numId w:val="17"/>
        </w:numPr>
        <w:tabs>
          <w:tab w:val="clear" w:pos="720"/>
        </w:tabs>
        <w:spacing w:before="120" w:after="120"/>
        <w:ind w:left="397" w:hanging="284"/>
        <w:jc w:val="both"/>
        <w:rPr>
          <w:rFonts w:eastAsia="Times New Roman" w:cs="Arial"/>
          <w:lang w:eastAsia="en-ZA"/>
        </w:rPr>
      </w:pPr>
      <w:r w:rsidRPr="00E4567F">
        <w:rPr>
          <w:rFonts w:eastAsia="Times New Roman" w:cs="Arial"/>
          <w:color w:val="2A2A2A"/>
          <w:lang w:eastAsia="en-ZA"/>
        </w:rPr>
        <w:t>Expenditure: R2.089 trillion</w:t>
      </w:r>
    </w:p>
    <w:p w14:paraId="772E5060" w14:textId="77777777" w:rsidR="00E4567F" w:rsidRPr="00E4567F" w:rsidRDefault="00E4567F" w:rsidP="00E4567F">
      <w:pPr>
        <w:numPr>
          <w:ilvl w:val="0"/>
          <w:numId w:val="17"/>
        </w:numPr>
        <w:tabs>
          <w:tab w:val="clear" w:pos="720"/>
        </w:tabs>
        <w:spacing w:before="120" w:after="120"/>
        <w:ind w:left="397" w:hanging="284"/>
        <w:jc w:val="both"/>
        <w:rPr>
          <w:rFonts w:eastAsia="Times New Roman" w:cs="Arial"/>
          <w:lang w:eastAsia="en-ZA"/>
        </w:rPr>
      </w:pPr>
      <w:r w:rsidRPr="00E4567F">
        <w:rPr>
          <w:rFonts w:eastAsia="Times New Roman" w:cs="Arial"/>
          <w:color w:val="2A2A2A"/>
          <w:lang w:eastAsia="en-ZA"/>
        </w:rPr>
        <w:t>Deficit: R252 billion</w:t>
      </w:r>
    </w:p>
    <w:p w14:paraId="46CE5B66" w14:textId="59B454E8" w:rsidR="00E4567F" w:rsidRPr="00E4567F" w:rsidRDefault="00E4567F" w:rsidP="00E4567F">
      <w:pPr>
        <w:spacing w:before="120" w:after="120"/>
        <w:jc w:val="both"/>
        <w:rPr>
          <w:rFonts w:eastAsia="Times New Roman" w:cs="Arial"/>
          <w:lang w:eastAsia="en-ZA"/>
        </w:rPr>
      </w:pPr>
      <w:r w:rsidRPr="00E4567F">
        <w:rPr>
          <w:rFonts w:eastAsia="Times New Roman" w:cs="Arial"/>
          <w:lang w:eastAsia="en-ZA"/>
        </w:rPr>
        <w:br/>
      </w:r>
      <w:r w:rsidRPr="00E4567F">
        <w:rPr>
          <w:rFonts w:eastAsia="Times New Roman" w:cs="Arial"/>
          <w:color w:val="2A2A2A"/>
          <w:lang w:eastAsia="en-ZA"/>
        </w:rPr>
        <w:t>​At R252 billion SA</w:t>
      </w:r>
      <w:r w:rsidR="00FA1C1A">
        <w:rPr>
          <w:rFonts w:eastAsia="Times New Roman" w:cs="Arial"/>
          <w:color w:val="2A2A2A"/>
          <w:lang w:eastAsia="en-ZA"/>
        </w:rPr>
        <w:t>’</w:t>
      </w:r>
      <w:r w:rsidRPr="00E4567F">
        <w:rPr>
          <w:rFonts w:eastAsia="Times New Roman" w:cs="Arial"/>
          <w:color w:val="2A2A2A"/>
          <w:lang w:eastAsia="en-ZA"/>
        </w:rPr>
        <w:t>s government will borrow roughly R1.14 billion a day! Let that sink in. Imagine how many houses government could build for the poor with just the interest that will be paid on all these borrowings. </w:t>
      </w:r>
    </w:p>
    <w:p w14:paraId="759540E0" w14:textId="77777777" w:rsidR="00E4567F" w:rsidRPr="00E4567F" w:rsidRDefault="00FA1C1A" w:rsidP="00E4567F">
      <w:pPr>
        <w:spacing w:before="120" w:after="120"/>
        <w:jc w:val="both"/>
        <w:rPr>
          <w:rFonts w:eastAsia="Times New Roman" w:cs="Arial"/>
          <w:lang w:eastAsia="en-ZA"/>
        </w:rPr>
      </w:pPr>
      <w:r>
        <w:rPr>
          <w:rFonts w:eastAsia="Times New Roman" w:cs="Arial"/>
          <w:lang w:eastAsia="en-ZA"/>
        </w:rPr>
        <w:pict w14:anchorId="1834D7BF">
          <v:rect id="_x0000_i1025" style="width:468pt;height:1.5pt" o:hralign="center" o:hrstd="t" o:hr="t" fillcolor="#a0a0a0" stroked="f"/>
        </w:pict>
      </w:r>
    </w:p>
    <w:p w14:paraId="79E6D5FF" w14:textId="1F9160D0" w:rsidR="00E4567F" w:rsidRPr="00E4567F" w:rsidRDefault="00E4567F" w:rsidP="00E4567F">
      <w:pPr>
        <w:spacing w:before="120" w:after="120"/>
        <w:jc w:val="both"/>
        <w:outlineLvl w:val="1"/>
        <w:rPr>
          <w:rFonts w:eastAsia="Times New Roman" w:cs="Arial"/>
          <w:b/>
          <w:bCs/>
          <w:lang w:eastAsia="en-ZA"/>
        </w:rPr>
      </w:pPr>
      <w:r w:rsidRPr="00E4567F">
        <w:rPr>
          <w:rFonts w:eastAsia="Times New Roman" w:cs="Arial"/>
          <w:b/>
          <w:bCs/>
          <w:lang w:eastAsia="en-ZA"/>
        </w:rPr>
        <w:lastRenderedPageBreak/>
        <w:t xml:space="preserve">7 February 2019: </w:t>
      </w:r>
      <w:r w:rsidR="00FA1C1A">
        <w:rPr>
          <w:rFonts w:eastAsia="Times New Roman" w:cs="Arial"/>
          <w:b/>
          <w:bCs/>
          <w:lang w:eastAsia="en-ZA"/>
        </w:rPr>
        <w:t>“</w:t>
      </w:r>
      <w:r w:rsidRPr="00E4567F">
        <w:rPr>
          <w:rFonts w:eastAsia="Times New Roman" w:cs="Arial"/>
          <w:b/>
          <w:bCs/>
          <w:lang w:eastAsia="en-ZA"/>
        </w:rPr>
        <w:t>Sin taxes</w:t>
      </w:r>
      <w:r w:rsidR="00FA1C1A">
        <w:rPr>
          <w:rFonts w:eastAsia="Times New Roman" w:cs="Arial"/>
          <w:b/>
          <w:bCs/>
          <w:lang w:eastAsia="en-ZA"/>
        </w:rPr>
        <w:t>””</w:t>
      </w:r>
      <w:r w:rsidRPr="00E4567F">
        <w:rPr>
          <w:rFonts w:eastAsia="Times New Roman" w:cs="Arial"/>
          <w:b/>
          <w:bCs/>
          <w:lang w:eastAsia="en-ZA"/>
        </w:rPr>
        <w:t xml:space="preserve"> collected on booze so far for the 2018/2019 fiscal year</w:t>
      </w:r>
    </w:p>
    <w:p w14:paraId="27AC84F5" w14:textId="6E8C673F" w:rsidR="00E4567F" w:rsidRPr="00E4567F" w:rsidRDefault="00E4567F" w:rsidP="00E4567F">
      <w:pPr>
        <w:spacing w:before="120" w:after="120"/>
        <w:jc w:val="both"/>
        <w:rPr>
          <w:rFonts w:eastAsia="Times New Roman" w:cs="Arial"/>
          <w:lang w:eastAsia="en-ZA"/>
        </w:rPr>
      </w:pPr>
      <w:r w:rsidRPr="00E4567F">
        <w:rPr>
          <w:rFonts w:eastAsia="Times New Roman" w:cs="Arial"/>
          <w:color w:val="2A2A2A"/>
          <w:lang w:eastAsia="en-ZA"/>
        </w:rPr>
        <w:t xml:space="preserve"> In this update we take a quick look at the amount of </w:t>
      </w:r>
      <w:r w:rsidR="00FA1C1A">
        <w:rPr>
          <w:rFonts w:eastAsia="Times New Roman" w:cs="Arial"/>
          <w:color w:val="2A2A2A"/>
          <w:lang w:eastAsia="en-ZA"/>
        </w:rPr>
        <w:t>“</w:t>
      </w:r>
      <w:r w:rsidRPr="00E4567F">
        <w:rPr>
          <w:rFonts w:eastAsia="Times New Roman" w:cs="Arial"/>
          <w:color w:val="2A2A2A"/>
          <w:lang w:eastAsia="en-ZA"/>
        </w:rPr>
        <w:t>Sin taxes</w:t>
      </w:r>
      <w:r w:rsidR="00FA1C1A">
        <w:rPr>
          <w:rFonts w:eastAsia="Times New Roman" w:cs="Arial"/>
          <w:color w:val="2A2A2A"/>
          <w:lang w:eastAsia="en-ZA"/>
        </w:rPr>
        <w:t>”</w:t>
      </w:r>
      <w:r w:rsidRPr="00E4567F">
        <w:rPr>
          <w:rFonts w:eastAsia="Times New Roman" w:cs="Arial"/>
          <w:color w:val="2A2A2A"/>
          <w:lang w:eastAsia="en-ZA"/>
        </w:rPr>
        <w:t xml:space="preserve"> collected by South Africa</w:t>
      </w:r>
      <w:r w:rsidR="00FA1C1A">
        <w:rPr>
          <w:rFonts w:eastAsia="Times New Roman" w:cs="Arial"/>
          <w:color w:val="2A2A2A"/>
          <w:lang w:eastAsia="en-ZA"/>
        </w:rPr>
        <w:t>’</w:t>
      </w:r>
      <w:r w:rsidRPr="00E4567F">
        <w:rPr>
          <w:rFonts w:eastAsia="Times New Roman" w:cs="Arial"/>
          <w:color w:val="2A2A2A"/>
          <w:lang w:eastAsia="en-ZA"/>
        </w:rPr>
        <w:t>s government on Beer, Wine and Spirits during the 2018/2019 fiscal year.  The line chart below shows the monthly taxes collected on various alcohol types since April 2018 up to December 2018.</w:t>
      </w:r>
    </w:p>
    <w:p w14:paraId="43D8239C" w14:textId="11BB8D55" w:rsidR="00E4567F" w:rsidRDefault="00E4567F" w:rsidP="00E4567F">
      <w:pPr>
        <w:spacing w:before="120" w:after="120"/>
        <w:jc w:val="both"/>
        <w:rPr>
          <w:rFonts w:eastAsia="Times New Roman" w:cs="Arial"/>
          <w:lang w:eastAsia="en-ZA"/>
        </w:rPr>
      </w:pPr>
      <w:r w:rsidRPr="00E4567F">
        <w:rPr>
          <w:rFonts w:eastAsia="Times New Roman" w:cs="Arial"/>
          <w:lang w:eastAsia="en-ZA"/>
        </w:rPr>
        <w:t>SA</w:t>
      </w:r>
      <w:r w:rsidR="00FA1C1A">
        <w:rPr>
          <w:rFonts w:eastAsia="Times New Roman" w:cs="Arial"/>
          <w:lang w:eastAsia="en-ZA"/>
        </w:rPr>
        <w:t>’</w:t>
      </w:r>
      <w:r w:rsidRPr="00E4567F">
        <w:rPr>
          <w:rFonts w:eastAsia="Times New Roman" w:cs="Arial"/>
          <w:lang w:eastAsia="en-ZA"/>
        </w:rPr>
        <w:t>s fiscal policy over time</w:t>
      </w:r>
    </w:p>
    <w:p w14:paraId="20758572" w14:textId="30478C25" w:rsidR="00E4567F" w:rsidRPr="00E4567F" w:rsidRDefault="00E4567F" w:rsidP="00E4567F">
      <w:pPr>
        <w:spacing w:before="120" w:after="120"/>
        <w:jc w:val="both"/>
        <w:rPr>
          <w:rFonts w:eastAsia="Times New Roman" w:cs="Arial"/>
          <w:lang w:eastAsia="en-ZA"/>
        </w:rPr>
      </w:pPr>
      <w:r w:rsidRPr="00E4567F">
        <w:rPr>
          <w:rFonts w:eastAsia="Times New Roman" w:cs="Arial"/>
          <w:lang w:eastAsia="en-ZA"/>
        </w:rPr>
        <w:t>2001/022002/032003/042004/052005/062006/072007/082008/092009/102010/112011/122012/132013/142014/152015/162016/172017/182018/192019/20Financial Year-400Billion-200Billion0200Billion400Billion600Billion800Billion1Trillion1.2Trillion1.4Trillion1.6Trillion1.8TrillionRand Value</w:t>
      </w:r>
    </w:p>
    <w:p w14:paraId="578D231B" w14:textId="77777777" w:rsidR="00E4567F" w:rsidRPr="00E4567F" w:rsidRDefault="00E4567F" w:rsidP="00E4567F">
      <w:pPr>
        <w:spacing w:before="120" w:after="120"/>
        <w:jc w:val="both"/>
        <w:rPr>
          <w:rFonts w:eastAsia="Times New Roman" w:cs="Arial"/>
          <w:lang w:eastAsia="en-ZA"/>
        </w:rPr>
      </w:pPr>
      <w:r w:rsidRPr="00E4567F">
        <w:rPr>
          <w:rFonts w:eastAsia="Times New Roman" w:cs="Arial"/>
          <w:lang w:eastAsia="en-ZA"/>
        </w:rPr>
        <w:t xml:space="preserve">Revenue Expenditure Surplus/Deficit </w:t>
      </w:r>
    </w:p>
    <w:p w14:paraId="5C88A197" w14:textId="3DA06BD3" w:rsidR="00E4567F" w:rsidRPr="00E4567F" w:rsidRDefault="00E4567F" w:rsidP="00E4567F">
      <w:pPr>
        <w:spacing w:before="120" w:after="120"/>
        <w:jc w:val="both"/>
        <w:rPr>
          <w:rFonts w:eastAsia="Times New Roman" w:cs="Arial"/>
          <w:lang w:eastAsia="en-ZA"/>
        </w:rPr>
      </w:pPr>
      <w:r w:rsidRPr="00E4567F">
        <w:rPr>
          <w:rFonts w:eastAsia="Times New Roman" w:cs="Arial"/>
          <w:color w:val="2A2A2A"/>
          <w:lang w:eastAsia="en-ZA"/>
        </w:rPr>
        <w:t>From the above it is clear that Beer is the main contributor to sin taxes paid by alcohol type. According to National Treasury</w:t>
      </w:r>
      <w:r w:rsidR="00FA1C1A">
        <w:rPr>
          <w:rFonts w:eastAsia="Times New Roman" w:cs="Arial"/>
          <w:color w:val="2A2A2A"/>
          <w:lang w:eastAsia="en-ZA"/>
        </w:rPr>
        <w:t>’ ’</w:t>
      </w:r>
      <w:r w:rsidRPr="00E4567F">
        <w:rPr>
          <w:rFonts w:eastAsia="Times New Roman" w:cs="Arial"/>
          <w:color w:val="2A2A2A"/>
          <w:lang w:eastAsia="en-ZA"/>
        </w:rPr>
        <w:t>s budget the three types of alcohol was expected to bring in the following amounts for the full 2018/2019 fiscal year (so up to March 2019).</w:t>
      </w:r>
    </w:p>
    <w:p w14:paraId="00AC1572" w14:textId="77777777" w:rsidR="00E4567F" w:rsidRPr="00E4567F" w:rsidRDefault="00E4567F" w:rsidP="00E4567F">
      <w:pPr>
        <w:numPr>
          <w:ilvl w:val="0"/>
          <w:numId w:val="18"/>
        </w:numPr>
        <w:tabs>
          <w:tab w:val="clear" w:pos="720"/>
        </w:tabs>
        <w:spacing w:before="120" w:after="120"/>
        <w:ind w:left="397" w:hanging="284"/>
        <w:jc w:val="both"/>
        <w:rPr>
          <w:rFonts w:eastAsia="Times New Roman" w:cs="Arial"/>
          <w:lang w:eastAsia="en-ZA"/>
        </w:rPr>
      </w:pPr>
      <w:r w:rsidRPr="00E4567F">
        <w:rPr>
          <w:rFonts w:eastAsia="Times New Roman" w:cs="Arial"/>
          <w:color w:val="2A2A2A"/>
          <w:lang w:eastAsia="en-ZA"/>
        </w:rPr>
        <w:t> Beer :R14 576 412 892</w:t>
      </w:r>
    </w:p>
    <w:p w14:paraId="64BF65FE" w14:textId="77777777" w:rsidR="00E4567F" w:rsidRPr="00E4567F" w:rsidRDefault="00E4567F" w:rsidP="00E4567F">
      <w:pPr>
        <w:numPr>
          <w:ilvl w:val="0"/>
          <w:numId w:val="18"/>
        </w:numPr>
        <w:tabs>
          <w:tab w:val="clear" w:pos="720"/>
        </w:tabs>
        <w:spacing w:before="120" w:after="120"/>
        <w:ind w:left="397" w:hanging="284"/>
        <w:jc w:val="both"/>
        <w:rPr>
          <w:rFonts w:eastAsia="Times New Roman" w:cs="Arial"/>
          <w:lang w:eastAsia="en-ZA"/>
        </w:rPr>
      </w:pPr>
      <w:r w:rsidRPr="00E4567F">
        <w:rPr>
          <w:rFonts w:eastAsia="Times New Roman" w:cs="Arial"/>
          <w:color w:val="2A2A2A"/>
          <w:lang w:eastAsia="en-ZA"/>
        </w:rPr>
        <w:t> Wine and other fermented beverages: R4 086 375 313</w:t>
      </w:r>
    </w:p>
    <w:p w14:paraId="1DB8A83A" w14:textId="77777777" w:rsidR="00E4567F" w:rsidRPr="00E4567F" w:rsidRDefault="00E4567F" w:rsidP="00E4567F">
      <w:pPr>
        <w:numPr>
          <w:ilvl w:val="0"/>
          <w:numId w:val="18"/>
        </w:numPr>
        <w:tabs>
          <w:tab w:val="clear" w:pos="720"/>
        </w:tabs>
        <w:spacing w:before="120" w:after="120"/>
        <w:ind w:left="397" w:hanging="284"/>
        <w:jc w:val="both"/>
        <w:rPr>
          <w:rFonts w:eastAsia="Times New Roman" w:cs="Arial"/>
          <w:lang w:eastAsia="en-ZA"/>
        </w:rPr>
      </w:pPr>
      <w:r w:rsidRPr="00E4567F">
        <w:rPr>
          <w:rFonts w:eastAsia="Times New Roman" w:cs="Arial"/>
          <w:color w:val="2A2A2A"/>
          <w:lang w:eastAsia="en-ZA"/>
        </w:rPr>
        <w:t> Spirits:  R7 038 143 318</w:t>
      </w:r>
    </w:p>
    <w:p w14:paraId="501A8E0A" w14:textId="77777777" w:rsidR="00E4567F" w:rsidRPr="00E4567F" w:rsidRDefault="00E4567F" w:rsidP="00E4567F">
      <w:pPr>
        <w:spacing w:before="120" w:after="120"/>
        <w:jc w:val="both"/>
        <w:rPr>
          <w:rFonts w:eastAsia="Times New Roman" w:cs="Arial"/>
          <w:lang w:eastAsia="en-ZA"/>
        </w:rPr>
      </w:pPr>
      <w:r w:rsidRPr="00E4567F">
        <w:rPr>
          <w:rFonts w:eastAsia="Times New Roman" w:cs="Arial"/>
          <w:lang w:eastAsia="en-ZA"/>
        </w:rPr>
        <w:br/>
      </w:r>
      <w:r w:rsidRPr="00E4567F">
        <w:rPr>
          <w:rFonts w:eastAsia="Times New Roman" w:cs="Arial"/>
          <w:color w:val="2A2A2A"/>
          <w:lang w:eastAsia="en-ZA"/>
        </w:rPr>
        <w:t>Up to December 2018 the following amount of taxes have been collected (percentage of total predicted budget shown in brackets):</w:t>
      </w:r>
    </w:p>
    <w:p w14:paraId="25C7EEB9" w14:textId="77777777" w:rsidR="00E4567F" w:rsidRPr="00E4567F" w:rsidRDefault="00E4567F" w:rsidP="00E4567F">
      <w:pPr>
        <w:numPr>
          <w:ilvl w:val="0"/>
          <w:numId w:val="19"/>
        </w:numPr>
        <w:tabs>
          <w:tab w:val="clear" w:pos="720"/>
        </w:tabs>
        <w:spacing w:before="120" w:after="120"/>
        <w:ind w:left="397" w:hanging="284"/>
        <w:jc w:val="both"/>
        <w:rPr>
          <w:rFonts w:eastAsia="Times New Roman" w:cs="Arial"/>
          <w:lang w:eastAsia="en-ZA"/>
        </w:rPr>
      </w:pPr>
      <w:r w:rsidRPr="00E4567F">
        <w:rPr>
          <w:rFonts w:eastAsia="Times New Roman" w:cs="Arial"/>
          <w:color w:val="2A2A2A"/>
          <w:lang w:eastAsia="en-ZA"/>
        </w:rPr>
        <w:t> Beer:  R9 516 357 527 (65.3%)</w:t>
      </w:r>
    </w:p>
    <w:p w14:paraId="021E07ED" w14:textId="77777777" w:rsidR="00E4567F" w:rsidRPr="00E4567F" w:rsidRDefault="00E4567F" w:rsidP="00E4567F">
      <w:pPr>
        <w:numPr>
          <w:ilvl w:val="0"/>
          <w:numId w:val="19"/>
        </w:numPr>
        <w:tabs>
          <w:tab w:val="clear" w:pos="720"/>
        </w:tabs>
        <w:spacing w:before="120" w:after="120"/>
        <w:ind w:left="397" w:hanging="284"/>
        <w:jc w:val="both"/>
        <w:rPr>
          <w:rFonts w:eastAsia="Times New Roman" w:cs="Arial"/>
          <w:lang w:eastAsia="en-ZA"/>
        </w:rPr>
      </w:pPr>
      <w:r w:rsidRPr="00E4567F">
        <w:rPr>
          <w:rFonts w:eastAsia="Times New Roman" w:cs="Arial"/>
          <w:color w:val="2A2A2A"/>
          <w:lang w:eastAsia="en-ZA"/>
        </w:rPr>
        <w:t> Wine and other fermented beverages:  R2 838 808 704 (69.5%)</w:t>
      </w:r>
    </w:p>
    <w:p w14:paraId="5522C4F8" w14:textId="77777777" w:rsidR="00E4567F" w:rsidRPr="00E4567F" w:rsidRDefault="00E4567F" w:rsidP="00E4567F">
      <w:pPr>
        <w:numPr>
          <w:ilvl w:val="0"/>
          <w:numId w:val="19"/>
        </w:numPr>
        <w:tabs>
          <w:tab w:val="clear" w:pos="720"/>
        </w:tabs>
        <w:spacing w:before="120" w:after="120"/>
        <w:ind w:left="397" w:hanging="284"/>
        <w:jc w:val="both"/>
        <w:rPr>
          <w:rFonts w:eastAsia="Times New Roman" w:cs="Arial"/>
          <w:lang w:eastAsia="en-ZA"/>
        </w:rPr>
      </w:pPr>
      <w:r w:rsidRPr="00E4567F">
        <w:rPr>
          <w:rFonts w:eastAsia="Times New Roman" w:cs="Arial"/>
          <w:color w:val="2A2A2A"/>
          <w:lang w:eastAsia="en-ZA"/>
        </w:rPr>
        <w:t> Spirits: R5 241 228 877  (74.5%)</w:t>
      </w:r>
    </w:p>
    <w:p w14:paraId="31EB4EF0" w14:textId="77777777" w:rsidR="00E4567F" w:rsidRPr="00E4567F" w:rsidRDefault="00E4567F" w:rsidP="00E4567F">
      <w:pPr>
        <w:spacing w:before="120" w:after="120"/>
        <w:jc w:val="both"/>
        <w:rPr>
          <w:rFonts w:eastAsia="Times New Roman" w:cs="Arial"/>
          <w:lang w:eastAsia="en-ZA"/>
        </w:rPr>
      </w:pPr>
      <w:r w:rsidRPr="00E4567F">
        <w:rPr>
          <w:rFonts w:eastAsia="Times New Roman" w:cs="Arial"/>
          <w:color w:val="2A2A2A"/>
          <w:lang w:eastAsia="en-ZA"/>
        </w:rPr>
        <w:br/>
        <w:t>So with 3 months left of the fiscal year, it looks like taxes collected on Spirits are on track (with 75% collected over 75% of the months of the fiscal year). However taxes collected on wine and other fermented beverages  (69.5%) and Beer (65.3%) is lagging behind the 75% one would have expected it to be at by considering 9 of the 12 months of the fiscal year have passed already. Question is will taxes collected end up being close to the budgeted amount? If not this shortfall will have to be made up somewhere else, or South Africa will have to borrow more if government is not willing to cut its budget to ensure it is inline with what it collects in taxes.</w:t>
      </w:r>
    </w:p>
    <w:p w14:paraId="2B402CCC" w14:textId="3D23D643" w:rsidR="00E4567F" w:rsidRPr="00E4567F" w:rsidRDefault="00E4567F" w:rsidP="00E4567F">
      <w:pPr>
        <w:spacing w:before="120" w:after="120"/>
        <w:jc w:val="both"/>
        <w:outlineLvl w:val="1"/>
        <w:rPr>
          <w:rFonts w:eastAsia="Times New Roman" w:cs="Arial"/>
          <w:b/>
          <w:bCs/>
          <w:lang w:eastAsia="en-ZA"/>
        </w:rPr>
      </w:pPr>
      <w:r w:rsidRPr="00E4567F">
        <w:rPr>
          <w:rFonts w:eastAsia="Times New Roman" w:cs="Arial"/>
          <w:b/>
          <w:bCs/>
          <w:lang w:eastAsia="en-ZA"/>
        </w:rPr>
        <w:t>South Africa</w:t>
      </w:r>
      <w:r w:rsidR="00FA1C1A">
        <w:rPr>
          <w:rFonts w:eastAsia="Times New Roman" w:cs="Arial"/>
          <w:b/>
          <w:bCs/>
          <w:lang w:eastAsia="en-ZA"/>
        </w:rPr>
        <w:t>’</w:t>
      </w:r>
      <w:r w:rsidRPr="00E4567F">
        <w:rPr>
          <w:rFonts w:eastAsia="Times New Roman" w:cs="Arial"/>
          <w:b/>
          <w:bCs/>
          <w:lang w:eastAsia="en-ZA"/>
        </w:rPr>
        <w:t>s fiscal policy over time</w:t>
      </w:r>
    </w:p>
    <w:p w14:paraId="58035F41" w14:textId="2AC1E967" w:rsidR="00E4567F" w:rsidRPr="00E4567F" w:rsidRDefault="00E4567F" w:rsidP="00E4567F">
      <w:pPr>
        <w:spacing w:before="120" w:after="120"/>
        <w:jc w:val="both"/>
        <w:rPr>
          <w:rFonts w:eastAsia="Times New Roman" w:cs="Arial"/>
          <w:lang w:eastAsia="en-ZA"/>
        </w:rPr>
      </w:pPr>
      <w:r w:rsidRPr="00E4567F">
        <w:rPr>
          <w:rFonts w:eastAsia="Times New Roman" w:cs="Arial"/>
          <w:color w:val="2A2A2A"/>
          <w:lang w:eastAsia="en-ZA"/>
        </w:rPr>
        <w:t>The graphic below South Africa</w:t>
      </w:r>
      <w:r w:rsidR="00FA1C1A">
        <w:rPr>
          <w:rFonts w:eastAsia="Times New Roman" w:cs="Arial"/>
          <w:color w:val="2A2A2A"/>
          <w:lang w:eastAsia="en-ZA"/>
        </w:rPr>
        <w:t>’</w:t>
      </w:r>
      <w:r w:rsidRPr="00E4567F">
        <w:rPr>
          <w:rFonts w:eastAsia="Times New Roman" w:cs="Arial"/>
          <w:color w:val="2A2A2A"/>
          <w:lang w:eastAsia="en-ZA"/>
        </w:rPr>
        <w:t>s fiscal policy in a nutshell over time. It shows the Rand value of revenue collected by the South African government as well as the money spent by government. The orange line shows the surplus/deficit of the government</w:t>
      </w:r>
      <w:r w:rsidR="00FA1C1A">
        <w:rPr>
          <w:rFonts w:eastAsia="Times New Roman" w:cs="Arial"/>
          <w:color w:val="2A2A2A"/>
          <w:lang w:eastAsia="en-ZA"/>
        </w:rPr>
        <w:t>’</w:t>
      </w:r>
      <w:r w:rsidRPr="00E4567F">
        <w:rPr>
          <w:rFonts w:eastAsia="Times New Roman" w:cs="Arial"/>
          <w:color w:val="2A2A2A"/>
          <w:lang w:eastAsia="en-ZA"/>
        </w:rPr>
        <w:t>s budget.  As the graphic shows, South Africa</w:t>
      </w:r>
      <w:r w:rsidR="00FA1C1A">
        <w:rPr>
          <w:rFonts w:eastAsia="Times New Roman" w:cs="Arial"/>
          <w:color w:val="2A2A2A"/>
          <w:lang w:eastAsia="en-ZA"/>
        </w:rPr>
        <w:t>’</w:t>
      </w:r>
      <w:r w:rsidRPr="00E4567F">
        <w:rPr>
          <w:rFonts w:eastAsia="Times New Roman" w:cs="Arial"/>
          <w:color w:val="2A2A2A"/>
          <w:lang w:eastAsia="en-ZA"/>
        </w:rPr>
        <w:t>s budget has been in deficit for a number of years and any budget deficit implies the government has to borrow money to cover it</w:t>
      </w:r>
      <w:r w:rsidR="00FA1C1A">
        <w:rPr>
          <w:rFonts w:eastAsia="Times New Roman" w:cs="Arial"/>
          <w:color w:val="2A2A2A"/>
          <w:lang w:eastAsia="en-ZA"/>
        </w:rPr>
        <w:t>’</w:t>
      </w:r>
      <w:r w:rsidRPr="00E4567F">
        <w:rPr>
          <w:rFonts w:eastAsia="Times New Roman" w:cs="Arial"/>
          <w:color w:val="2A2A2A"/>
          <w:lang w:eastAsia="en-ZA"/>
        </w:rPr>
        <w:t>s expenses as its revenue collected cannot cover expenditure items. Essentially equating this to a household budget, government is borrowing more and more as governments income is not enough to cover its expenses. Essentially government is living beyond it</w:t>
      </w:r>
      <w:r w:rsidR="00FA1C1A">
        <w:rPr>
          <w:rFonts w:eastAsia="Times New Roman" w:cs="Arial"/>
          <w:color w:val="2A2A2A"/>
          <w:lang w:eastAsia="en-ZA"/>
        </w:rPr>
        <w:t>’</w:t>
      </w:r>
      <w:r w:rsidRPr="00E4567F">
        <w:rPr>
          <w:rFonts w:eastAsia="Times New Roman" w:cs="Arial"/>
          <w:color w:val="2A2A2A"/>
          <w:lang w:eastAsia="en-ZA"/>
        </w:rPr>
        <w:t>s means. </w:t>
      </w:r>
    </w:p>
    <w:p w14:paraId="146A35F4" w14:textId="39ABE952" w:rsidR="00E4567F" w:rsidRPr="00E4567F" w:rsidRDefault="00E4567F" w:rsidP="00E4567F">
      <w:pPr>
        <w:spacing w:before="120" w:after="120"/>
        <w:jc w:val="both"/>
        <w:rPr>
          <w:rFonts w:eastAsia="Times New Roman" w:cs="Arial"/>
          <w:lang w:eastAsia="en-ZA"/>
        </w:rPr>
      </w:pPr>
      <w:r w:rsidRPr="00E4567F">
        <w:rPr>
          <w:rFonts w:eastAsia="Times New Roman" w:cs="Arial"/>
          <w:color w:val="2A2A2A"/>
          <w:lang w:eastAsia="en-ZA"/>
        </w:rPr>
        <w:t>So where is governments money it is spending going and where exactly is it coming from? The image below shows the breakdown of taxes from various tax income sources. As seen from the graphic personal income tax accounts for almost 37% of all taxes collected, VAT accounts to almost a quarter of taxes collected (26.3%) and company income taxes makes up around 18% of South Africa</w:t>
      </w:r>
      <w:r w:rsidR="00FA1C1A">
        <w:rPr>
          <w:rFonts w:eastAsia="Times New Roman" w:cs="Arial"/>
          <w:color w:val="2A2A2A"/>
          <w:lang w:eastAsia="en-ZA"/>
        </w:rPr>
        <w:t>’</w:t>
      </w:r>
      <w:r w:rsidRPr="00E4567F">
        <w:rPr>
          <w:rFonts w:eastAsia="Times New Roman" w:cs="Arial"/>
          <w:color w:val="2A2A2A"/>
          <w:lang w:eastAsia="en-ZA"/>
        </w:rPr>
        <w:t>s taxes collected.</w:t>
      </w:r>
    </w:p>
    <w:p w14:paraId="49A49659" w14:textId="77777777" w:rsidR="00E4567F" w:rsidRPr="00E4567F" w:rsidRDefault="00E4567F" w:rsidP="00E4567F">
      <w:pPr>
        <w:spacing w:before="120" w:after="120"/>
        <w:jc w:val="both"/>
        <w:rPr>
          <w:rFonts w:eastAsia="Times New Roman" w:cs="Arial"/>
          <w:lang w:eastAsia="en-ZA"/>
        </w:rPr>
      </w:pPr>
      <w:r w:rsidRPr="00E4567F">
        <w:rPr>
          <w:rFonts w:eastAsia="Times New Roman" w:cs="Arial"/>
          <w:noProof/>
          <w:lang w:eastAsia="en-ZA"/>
        </w:rPr>
        <w:lastRenderedPageBreak/>
        <w:drawing>
          <wp:inline distT="0" distB="0" distL="0" distR="0" wp14:anchorId="1710F30D" wp14:editId="51EB62F6">
            <wp:extent cx="5679037" cy="4503420"/>
            <wp:effectExtent l="0" t="0" r="0" b="0"/>
            <wp:docPr id="15" name="Picture 15" descr="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Picture"/>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5688601" cy="4511004"/>
                    </a:xfrm>
                    <a:prstGeom prst="rect">
                      <a:avLst/>
                    </a:prstGeom>
                    <a:noFill/>
                    <a:ln>
                      <a:noFill/>
                    </a:ln>
                  </pic:spPr>
                </pic:pic>
              </a:graphicData>
            </a:graphic>
          </wp:inline>
        </w:drawing>
      </w:r>
    </w:p>
    <w:p w14:paraId="4A28C3D3" w14:textId="77777777" w:rsidR="00E4567F" w:rsidRPr="00E4567F" w:rsidRDefault="00E4567F" w:rsidP="00E4567F">
      <w:pPr>
        <w:spacing w:before="120" w:after="120"/>
        <w:jc w:val="both"/>
        <w:rPr>
          <w:rFonts w:eastAsia="Times New Roman" w:cs="Arial"/>
          <w:lang w:eastAsia="en-ZA"/>
        </w:rPr>
      </w:pPr>
      <w:r w:rsidRPr="00E4567F">
        <w:rPr>
          <w:rFonts w:eastAsia="Times New Roman" w:cs="Arial"/>
          <w:lang w:eastAsia="en-ZA"/>
        </w:rPr>
        <w:t>Finance Minister Malusi Gigaba, with tax revenue sources overlaid.</w:t>
      </w:r>
    </w:p>
    <w:p w14:paraId="17638E4E" w14:textId="49833F6F" w:rsidR="00E4567F" w:rsidRDefault="00E4567F" w:rsidP="00E4567F">
      <w:pPr>
        <w:spacing w:before="120" w:after="120"/>
        <w:jc w:val="both"/>
        <w:rPr>
          <w:rFonts w:eastAsia="Times New Roman" w:cs="Arial"/>
          <w:color w:val="2A2A2A"/>
          <w:lang w:eastAsia="en-ZA"/>
        </w:rPr>
      </w:pPr>
      <w:r w:rsidRPr="00E4567F">
        <w:rPr>
          <w:rFonts w:eastAsia="Times New Roman" w:cs="Arial"/>
          <w:color w:val="2A2A2A"/>
          <w:lang w:eastAsia="en-ZA"/>
        </w:rPr>
        <w:t>The graphic below breaks down government expenditure according to economic classification (as per the 2016/2017) budget estimates. Concerning is the fact that debt-service costs makes up over 10% of government</w:t>
      </w:r>
      <w:r w:rsidR="00FA1C1A">
        <w:rPr>
          <w:rFonts w:eastAsia="Times New Roman" w:cs="Arial"/>
          <w:color w:val="2A2A2A"/>
          <w:lang w:eastAsia="en-ZA"/>
        </w:rPr>
        <w:t>’</w:t>
      </w:r>
      <w:r w:rsidRPr="00E4567F">
        <w:rPr>
          <w:rFonts w:eastAsia="Times New Roman" w:cs="Arial"/>
          <w:color w:val="2A2A2A"/>
          <w:lang w:eastAsia="en-ZA"/>
        </w:rPr>
        <w:t>s expenditure, and this is set to rise to around 11% by 2019/2020. With further ratings downgrades on South Africa</w:t>
      </w:r>
      <w:r w:rsidR="00FA1C1A">
        <w:rPr>
          <w:rFonts w:eastAsia="Times New Roman" w:cs="Arial"/>
          <w:color w:val="2A2A2A"/>
          <w:lang w:eastAsia="en-ZA"/>
        </w:rPr>
        <w:t>’</w:t>
      </w:r>
      <w:r w:rsidRPr="00E4567F">
        <w:rPr>
          <w:rFonts w:eastAsia="Times New Roman" w:cs="Arial"/>
          <w:color w:val="2A2A2A"/>
          <w:lang w:eastAsia="en-ZA"/>
        </w:rPr>
        <w:t>s debt imminent this should increase even further as interest on future debt needs to be more to compensate investors for the increased risk they are taking for investing in sub investment grade debt such as South Africa</w:t>
      </w:r>
      <w:r w:rsidR="00FA1C1A">
        <w:rPr>
          <w:rFonts w:eastAsia="Times New Roman" w:cs="Arial"/>
          <w:color w:val="2A2A2A"/>
          <w:lang w:eastAsia="en-ZA"/>
        </w:rPr>
        <w:t>’</w:t>
      </w:r>
      <w:r w:rsidRPr="00E4567F">
        <w:rPr>
          <w:rFonts w:eastAsia="Times New Roman" w:cs="Arial"/>
          <w:color w:val="2A2A2A"/>
          <w:lang w:eastAsia="en-ZA"/>
        </w:rPr>
        <w:t>s government debt.</w:t>
      </w:r>
    </w:p>
    <w:p w14:paraId="18ED5A49" w14:textId="6110AE5A" w:rsidR="00E4567F" w:rsidRPr="00E4567F" w:rsidRDefault="00E4567F" w:rsidP="00E4567F">
      <w:pPr>
        <w:spacing w:before="120" w:after="120"/>
        <w:jc w:val="both"/>
        <w:rPr>
          <w:rFonts w:eastAsia="Times New Roman" w:cs="Arial"/>
          <w:lang w:eastAsia="en-ZA"/>
        </w:rPr>
      </w:pPr>
      <w:r w:rsidRPr="00E4567F">
        <w:rPr>
          <w:rFonts w:eastAsia="Times New Roman" w:cs="Arial"/>
          <w:color w:val="2A2A2A"/>
          <w:lang w:eastAsia="en-ZA"/>
        </w:rPr>
        <w:t>The stacked bar chart below shows the contribution of various categories to total government spending.</w:t>
      </w:r>
    </w:p>
    <w:p w14:paraId="396C02BF" w14:textId="7FB22E94" w:rsidR="00E4567F" w:rsidRDefault="00E4567F" w:rsidP="00E4567F">
      <w:pPr>
        <w:spacing w:before="120" w:after="120"/>
        <w:jc w:val="both"/>
        <w:rPr>
          <w:rFonts w:eastAsia="Times New Roman" w:cs="Arial"/>
          <w:lang w:eastAsia="en-ZA"/>
        </w:rPr>
      </w:pPr>
      <w:r w:rsidRPr="00E4567F">
        <w:rPr>
          <w:rFonts w:eastAsia="Times New Roman" w:cs="Arial"/>
          <w:lang w:eastAsia="en-ZA"/>
        </w:rPr>
        <w:t>Government spending per economic classification 2016/17 2017/18 2018/19 2019/20 Financial Year0102030405060708090100Percentage of government spendingCompensation of employees Goods and services Debt-service costs Interest and rent on land Provinces and municipalities Departmental agencies and accounts Higher education institutions Foreign governments and international organisations Public corporations and private enterprises Non-profit institutions Households Buildings and other capital assets Machinery and equipment</w:t>
      </w:r>
      <w:r>
        <w:rPr>
          <w:rFonts w:eastAsia="Times New Roman" w:cs="Arial"/>
          <w:lang w:eastAsia="en-ZA"/>
        </w:rPr>
        <w:t>.</w:t>
      </w:r>
      <w:r w:rsidRPr="00E4567F">
        <w:rPr>
          <w:rFonts w:eastAsia="Times New Roman" w:cs="Arial"/>
          <w:lang w:eastAsia="en-ZA"/>
        </w:rPr>
        <w:t xml:space="preserve"> </w:t>
      </w:r>
    </w:p>
    <w:p w14:paraId="64AD53D2" w14:textId="57FDA9E8" w:rsidR="00E4567F" w:rsidRPr="00E4567F" w:rsidRDefault="00E4567F" w:rsidP="00E4567F">
      <w:pPr>
        <w:spacing w:before="120" w:after="120"/>
        <w:jc w:val="both"/>
        <w:rPr>
          <w:rFonts w:eastAsia="Times New Roman" w:cs="Arial"/>
          <w:b/>
          <w:bCs/>
          <w:lang w:eastAsia="en-ZA"/>
        </w:rPr>
      </w:pPr>
      <w:r w:rsidRPr="00E4567F">
        <w:rPr>
          <w:rFonts w:eastAsia="Times New Roman" w:cs="Arial"/>
          <w:b/>
          <w:bCs/>
          <w:lang w:eastAsia="en-ZA"/>
        </w:rPr>
        <w:t xml:space="preserve">Payments for financial assets </w:t>
      </w:r>
    </w:p>
    <w:p w14:paraId="4DC8F231" w14:textId="77777777" w:rsidR="00E4567F" w:rsidRDefault="00E4567F" w:rsidP="00E4567F">
      <w:pPr>
        <w:spacing w:before="120" w:after="120"/>
        <w:jc w:val="both"/>
        <w:rPr>
          <w:rFonts w:eastAsia="Times New Roman" w:cs="Arial"/>
          <w:color w:val="2A2A2A"/>
          <w:lang w:eastAsia="en-ZA"/>
        </w:rPr>
      </w:pPr>
      <w:r w:rsidRPr="00E4567F">
        <w:rPr>
          <w:rFonts w:eastAsia="Times New Roman" w:cs="Arial"/>
          <w:color w:val="2A2A2A"/>
          <w:lang w:eastAsia="en-ZA"/>
        </w:rPr>
        <w:t>From the stacked bar chart above it is clear the single biggest contributor to overall government spending is compensation of employees. With employee costs taking up more than a third of total government spending. The second largest category for government spending is households. This will include all social grants/welfare payouts to households in South Africa.</w:t>
      </w:r>
    </w:p>
    <w:p w14:paraId="68758D0F" w14:textId="6CBB2E0A" w:rsidR="00E4567F" w:rsidRPr="00E4567F" w:rsidRDefault="00E4567F" w:rsidP="00E4567F">
      <w:pPr>
        <w:spacing w:before="120" w:after="120"/>
        <w:jc w:val="both"/>
        <w:rPr>
          <w:rFonts w:eastAsia="Times New Roman" w:cs="Arial"/>
          <w:lang w:eastAsia="en-ZA"/>
        </w:rPr>
      </w:pPr>
      <w:r w:rsidRPr="00E4567F">
        <w:rPr>
          <w:rFonts w:eastAsia="Times New Roman" w:cs="Arial"/>
          <w:color w:val="2A2A2A"/>
          <w:lang w:eastAsia="en-ZA"/>
        </w:rPr>
        <w:t xml:space="preserve">Worrying is the fact that debt servicing costs make up more than 10% of total government spending. Government is set to spend R146.2billion on debt servicing costs during the 2016/2017 financial year. That is a eye watering amount of money to be spending on servicing debt. And as we reported in </w:t>
      </w:r>
      <w:hyperlink r:id="rId145" w:history="1">
        <w:r w:rsidRPr="00E4567F">
          <w:rPr>
            <w:rFonts w:eastAsia="Times New Roman" w:cs="Arial"/>
            <w:b/>
            <w:bCs/>
            <w:color w:val="0000FF"/>
            <w:u w:val="single"/>
            <w:lang w:eastAsia="en-ZA"/>
          </w:rPr>
          <w:t>this blog post</w:t>
        </w:r>
      </w:hyperlink>
      <w:r w:rsidRPr="00E4567F">
        <w:rPr>
          <w:rFonts w:eastAsia="Times New Roman" w:cs="Arial"/>
          <w:color w:val="2A2A2A"/>
          <w:lang w:eastAsia="en-ZA"/>
        </w:rPr>
        <w:t xml:space="preserve">, the amount of money going towards servicing </w:t>
      </w:r>
      <w:r w:rsidRPr="00E4567F">
        <w:rPr>
          <w:rFonts w:eastAsia="Times New Roman" w:cs="Arial"/>
          <w:color w:val="2A2A2A"/>
          <w:lang w:eastAsia="en-ZA"/>
        </w:rPr>
        <w:lastRenderedPageBreak/>
        <w:t>debt is set to continue increasing as investors demand higher yields for increased risk in investing in South African government debt.</w:t>
      </w:r>
    </w:p>
    <w:p w14:paraId="00B15643" w14:textId="77777777" w:rsidR="00E4567F" w:rsidRPr="00E4567F" w:rsidRDefault="00E4567F" w:rsidP="00E4567F">
      <w:pPr>
        <w:spacing w:before="120" w:after="120"/>
        <w:jc w:val="both"/>
        <w:rPr>
          <w:rFonts w:eastAsia="Times New Roman" w:cs="Arial"/>
          <w:lang w:eastAsia="en-ZA"/>
        </w:rPr>
      </w:pPr>
      <w:r w:rsidRPr="00E4567F">
        <w:rPr>
          <w:rFonts w:eastAsia="Times New Roman" w:cs="Arial"/>
          <w:color w:val="2A2A2A"/>
          <w:lang w:eastAsia="en-ZA"/>
        </w:rPr>
        <w:t>While the above looked at the contribution of various categories to total government expenditure, the bar chart below shows the expected increase/growth in spending per category per year up to financial year 2019/2010). The two categories that is expected to show the strongest growth over the next few years are Higher Education institutions (as pressure mounts on government to provide free higher education to students). This process was largely driven by the #feesmustfall campaign.</w:t>
      </w:r>
    </w:p>
    <w:p w14:paraId="2E470BB4" w14:textId="77777777" w:rsidR="00E4567F" w:rsidRPr="00E4567F" w:rsidRDefault="00E4567F" w:rsidP="00E4567F">
      <w:pPr>
        <w:spacing w:before="120" w:after="120"/>
        <w:jc w:val="both"/>
        <w:rPr>
          <w:rFonts w:eastAsia="Times New Roman" w:cs="Arial"/>
          <w:lang w:eastAsia="en-ZA"/>
        </w:rPr>
      </w:pPr>
      <w:r w:rsidRPr="00E4567F">
        <w:rPr>
          <w:rFonts w:eastAsia="Times New Roman" w:cs="Arial"/>
          <w:lang w:eastAsia="en-ZA"/>
        </w:rPr>
        <w:t>Expected growth per spending category (2016/2017 to2019/2020)Compensation of employeesGoods and servicesDebt-service costsInterest and rent on landProvinces and municipalitiesDepartmental agencies and accountsHigher education institutionsForeign governments and international organisationsPublic corporations and private enterprisesNon-profit institutionsHouseholdsBuildings and other capital assetsMachinery and equipmentPayments for financial assets-10-5051015Percent growth per year</w:t>
      </w:r>
    </w:p>
    <w:p w14:paraId="7698B72E" w14:textId="77777777" w:rsidR="00E4567F" w:rsidRPr="00E4567F" w:rsidRDefault="00E4567F" w:rsidP="00E4567F">
      <w:pPr>
        <w:spacing w:before="120" w:after="120"/>
        <w:jc w:val="both"/>
        <w:rPr>
          <w:rFonts w:eastAsia="Times New Roman" w:cs="Arial"/>
          <w:b/>
          <w:bCs/>
          <w:lang w:eastAsia="en-ZA"/>
        </w:rPr>
      </w:pPr>
      <w:r w:rsidRPr="00E4567F">
        <w:rPr>
          <w:rFonts w:eastAsia="Times New Roman" w:cs="Arial"/>
          <w:b/>
          <w:bCs/>
          <w:lang w:eastAsia="en-ZA"/>
        </w:rPr>
        <w:t xml:space="preserve">Expected growth per year </w:t>
      </w:r>
    </w:p>
    <w:p w14:paraId="7740EF9C" w14:textId="1087E116" w:rsidR="00E4567F" w:rsidRDefault="00E4567F" w:rsidP="00E4567F">
      <w:pPr>
        <w:spacing w:before="120" w:after="120"/>
        <w:jc w:val="both"/>
        <w:rPr>
          <w:rFonts w:eastAsia="Times New Roman" w:cs="Arial"/>
          <w:color w:val="2A2A2A"/>
          <w:lang w:eastAsia="en-ZA"/>
        </w:rPr>
      </w:pPr>
      <w:r w:rsidRPr="00E4567F">
        <w:rPr>
          <w:rFonts w:eastAsia="Times New Roman" w:cs="Arial"/>
          <w:color w:val="2A2A2A"/>
          <w:lang w:eastAsia="en-ZA"/>
        </w:rPr>
        <w:t>Another category that is predicted to show strong growth in spending is debt servicing costs (this is expected to grow by 10% per year over the next 3 years). If this growth materializes, by 2019/2020, debt servicing costs will make up over 11% of government</w:t>
      </w:r>
      <w:r w:rsidR="00FA1C1A">
        <w:rPr>
          <w:rFonts w:eastAsia="Times New Roman" w:cs="Arial"/>
          <w:color w:val="2A2A2A"/>
          <w:lang w:eastAsia="en-ZA"/>
        </w:rPr>
        <w:t>’</w:t>
      </w:r>
      <w:r w:rsidRPr="00E4567F">
        <w:rPr>
          <w:rFonts w:eastAsia="Times New Roman" w:cs="Arial"/>
          <w:color w:val="2A2A2A"/>
          <w:lang w:eastAsia="en-ZA"/>
        </w:rPr>
        <w:t>s total spending (or R197billion) spent on servicing the government</w:t>
      </w:r>
      <w:r w:rsidR="00FA1C1A">
        <w:rPr>
          <w:rFonts w:eastAsia="Times New Roman" w:cs="Arial"/>
          <w:color w:val="2A2A2A"/>
          <w:lang w:eastAsia="en-ZA"/>
        </w:rPr>
        <w:t>’</w:t>
      </w:r>
      <w:r w:rsidRPr="00E4567F">
        <w:rPr>
          <w:rFonts w:eastAsia="Times New Roman" w:cs="Arial"/>
          <w:color w:val="2A2A2A"/>
          <w:lang w:eastAsia="en-ZA"/>
        </w:rPr>
        <w:t>s debt. Now imagine the type of services and goods government can could deliver to the people of South Africa if it was debt free and did not need to pay this debt servicing costs.</w:t>
      </w:r>
    </w:p>
    <w:p w14:paraId="5BB84D4B" w14:textId="791C8A34" w:rsidR="00E4567F" w:rsidRDefault="00E4567F" w:rsidP="00E4567F">
      <w:pPr>
        <w:spacing w:before="120" w:after="120"/>
        <w:jc w:val="both"/>
        <w:rPr>
          <w:rFonts w:eastAsia="Times New Roman" w:cs="Arial"/>
          <w:color w:val="2A2A2A"/>
          <w:lang w:eastAsia="en-ZA"/>
        </w:rPr>
      </w:pPr>
      <w:r w:rsidRPr="00E4567F">
        <w:rPr>
          <w:rFonts w:eastAsia="Times New Roman" w:cs="Arial"/>
          <w:color w:val="2A2A2A"/>
          <w:lang w:eastAsia="en-ZA"/>
        </w:rPr>
        <w:t>We are sure labour unions have taken note of government</w:t>
      </w:r>
      <w:r w:rsidR="00FA1C1A">
        <w:rPr>
          <w:rFonts w:eastAsia="Times New Roman" w:cs="Arial"/>
          <w:color w:val="2A2A2A"/>
          <w:lang w:eastAsia="en-ZA"/>
        </w:rPr>
        <w:t>’</w:t>
      </w:r>
      <w:r w:rsidRPr="00E4567F">
        <w:rPr>
          <w:rFonts w:eastAsia="Times New Roman" w:cs="Arial"/>
          <w:color w:val="2A2A2A"/>
          <w:lang w:eastAsia="en-ZA"/>
        </w:rPr>
        <w:t xml:space="preserve">s expected growth in the compensation of employees over the next few years. Government is expecting this to grow by </w:t>
      </w:r>
      <w:r w:rsidRPr="00E4567F">
        <w:rPr>
          <w:rFonts w:eastAsia="Times New Roman" w:cs="Arial"/>
          <w:b/>
          <w:bCs/>
          <w:color w:val="2A2A2A"/>
          <w:lang w:eastAsia="en-ZA"/>
        </w:rPr>
        <w:t>7.2%</w:t>
      </w:r>
      <w:r w:rsidRPr="00E4567F">
        <w:rPr>
          <w:rFonts w:eastAsia="Times New Roman" w:cs="Arial"/>
          <w:color w:val="2A2A2A"/>
          <w:lang w:eastAsia="en-ZA"/>
        </w:rPr>
        <w:t xml:space="preserve"> per year over the next couple of years. Well above the current and expected inflation  rate as predicted by the South African Reserve Bank (SARB).</w:t>
      </w:r>
    </w:p>
    <w:p w14:paraId="26C1E315" w14:textId="7731678E" w:rsidR="00E4567F" w:rsidRDefault="00E4567F" w:rsidP="00E4567F">
      <w:pPr>
        <w:spacing w:before="120" w:after="120"/>
        <w:jc w:val="both"/>
        <w:rPr>
          <w:rFonts w:eastAsia="Times New Roman" w:cs="Arial"/>
          <w:color w:val="2A2A2A"/>
          <w:lang w:eastAsia="en-ZA"/>
        </w:rPr>
      </w:pPr>
    </w:p>
    <w:p w14:paraId="3D5EA500" w14:textId="57F31C9F" w:rsidR="00FA1C1A" w:rsidRDefault="00FA1C1A" w:rsidP="00E4567F">
      <w:pPr>
        <w:spacing w:before="120" w:after="120"/>
        <w:jc w:val="both"/>
        <w:rPr>
          <w:rStyle w:val="Hyperlink"/>
          <w:rFonts w:eastAsia="Times New Roman" w:cs="Arial"/>
          <w:lang w:eastAsia="en-ZA"/>
        </w:rPr>
      </w:pPr>
      <w:hyperlink r:id="rId146" w:history="1">
        <w:r w:rsidR="00E4567F" w:rsidRPr="00EF636E">
          <w:rPr>
            <w:rStyle w:val="Hyperlink"/>
            <w:rFonts w:eastAsia="Times New Roman" w:cs="Arial"/>
            <w:lang w:eastAsia="en-ZA"/>
          </w:rPr>
          <w:t>https://www.southafricanmi.com/south-africas-fiscal-policy.html</w:t>
        </w:r>
      </w:hyperlink>
    </w:p>
    <w:p w14:paraId="249DE37E" w14:textId="77777777" w:rsidR="00FA1C1A" w:rsidRDefault="00FA1C1A">
      <w:pPr>
        <w:rPr>
          <w:rStyle w:val="Hyperlink"/>
          <w:rFonts w:eastAsia="Times New Roman" w:cs="Arial"/>
          <w:lang w:eastAsia="en-ZA"/>
        </w:rPr>
      </w:pPr>
      <w:r>
        <w:rPr>
          <w:rStyle w:val="Hyperlink"/>
          <w:rFonts w:eastAsia="Times New Roman" w:cs="Arial"/>
          <w:lang w:eastAsia="en-ZA"/>
        </w:rPr>
        <w:br w:type="page"/>
      </w:r>
    </w:p>
    <w:p w14:paraId="44AE8C22" w14:textId="77777777" w:rsidR="00FA1C1A" w:rsidRPr="00FA1C1A" w:rsidRDefault="00FA1C1A" w:rsidP="00FA1C1A">
      <w:pPr>
        <w:spacing w:before="100" w:beforeAutospacing="1" w:after="100" w:afterAutospacing="1"/>
        <w:outlineLvl w:val="0"/>
        <w:rPr>
          <w:rFonts w:eastAsia="Times New Roman" w:cs="Arial"/>
          <w:b/>
          <w:bCs/>
          <w:kern w:val="36"/>
          <w:sz w:val="32"/>
          <w:szCs w:val="32"/>
          <w:lang w:eastAsia="en-ZA"/>
        </w:rPr>
      </w:pPr>
      <w:r w:rsidRPr="00FA1C1A">
        <w:rPr>
          <w:rFonts w:eastAsia="Times New Roman" w:cs="Arial"/>
          <w:b/>
          <w:bCs/>
          <w:kern w:val="36"/>
          <w:sz w:val="32"/>
          <w:szCs w:val="32"/>
          <w:lang w:eastAsia="en-ZA"/>
        </w:rPr>
        <w:lastRenderedPageBreak/>
        <w:t>South African shares may be on the brink of a breakthrough - but two things need to happen</w:t>
      </w:r>
    </w:p>
    <w:p w14:paraId="7742C0C6" w14:textId="5F0306E7" w:rsidR="00FA1C1A" w:rsidRPr="00FA1C1A" w:rsidRDefault="00FA1C1A" w:rsidP="00FA1C1A">
      <w:pPr>
        <w:rPr>
          <w:rFonts w:eastAsia="Times New Roman" w:cs="Arial"/>
          <w:lang w:eastAsia="en-ZA"/>
        </w:rPr>
      </w:pPr>
      <w:hyperlink r:id="rId147" w:history="1">
        <w:r w:rsidRPr="00FA1C1A">
          <w:rPr>
            <w:rFonts w:eastAsia="Times New Roman" w:cs="Arial"/>
            <w:color w:val="0000FF"/>
            <w:u w:val="single"/>
            <w:lang w:eastAsia="en-ZA"/>
          </w:rPr>
          <w:t>Helena Wasserman</w:t>
        </w:r>
      </w:hyperlink>
      <w:r w:rsidRPr="00FA1C1A">
        <w:rPr>
          <w:rFonts w:eastAsia="Times New Roman" w:cs="Arial"/>
          <w:lang w:eastAsia="en-ZA"/>
        </w:rPr>
        <w:t xml:space="preserve">, Business Insider SA </w:t>
      </w:r>
    </w:p>
    <w:p w14:paraId="56EA769F" w14:textId="2CE9FAF3" w:rsidR="00FA1C1A" w:rsidRPr="00FA1C1A" w:rsidRDefault="00FA1C1A" w:rsidP="00FA1C1A">
      <w:pPr>
        <w:rPr>
          <w:rFonts w:eastAsia="Times New Roman" w:cs="Arial"/>
          <w:lang w:eastAsia="en-ZA"/>
        </w:rPr>
      </w:pPr>
      <w:r w:rsidRPr="00FA1C1A">
        <w:rPr>
          <w:rFonts w:eastAsia="Times New Roman" w:cs="Arial"/>
          <w:noProof/>
          <w:lang w:eastAsia="en-ZA"/>
        </w:rPr>
        <w:drawing>
          <wp:anchor distT="0" distB="0" distL="114300" distR="114300" simplePos="0" relativeHeight="251660288" behindDoc="0" locked="0" layoutInCell="1" allowOverlap="1" wp14:anchorId="4A36D050" wp14:editId="05B0C61F">
            <wp:simplePos x="0" y="0"/>
            <wp:positionH relativeFrom="margin">
              <wp:align>right</wp:align>
            </wp:positionH>
            <wp:positionV relativeFrom="paragraph">
              <wp:posOffset>248920</wp:posOffset>
            </wp:positionV>
            <wp:extent cx="5722620" cy="3811905"/>
            <wp:effectExtent l="0" t="0" r="0" b="0"/>
            <wp:wrapSquare wrapText="bothSides"/>
            <wp:docPr id="25" name="Picture 25"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 "/>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5722620" cy="3811905"/>
                    </a:xfrm>
                    <a:prstGeom prst="rect">
                      <a:avLst/>
                    </a:prstGeom>
                    <a:noFill/>
                    <a:ln>
                      <a:noFill/>
                    </a:ln>
                  </pic:spPr>
                </pic:pic>
              </a:graphicData>
            </a:graphic>
            <wp14:sizeRelH relativeFrom="page">
              <wp14:pctWidth>0</wp14:pctWidth>
            </wp14:sizeRelH>
            <wp14:sizeRelV relativeFrom="page">
              <wp14:pctHeight>0</wp14:pctHeight>
            </wp14:sizeRelV>
          </wp:anchor>
        </w:drawing>
      </w:r>
      <w:r w:rsidRPr="00FA1C1A">
        <w:rPr>
          <w:rFonts w:eastAsia="Times New Roman" w:cs="Arial"/>
          <w:lang w:eastAsia="en-ZA"/>
        </w:rPr>
        <w:t xml:space="preserve"> Jun 26, 2019, 04:07 PM </w:t>
      </w:r>
    </w:p>
    <w:p w14:paraId="18014A89" w14:textId="77777777" w:rsidR="00FA1C1A" w:rsidRPr="00FA1C1A" w:rsidRDefault="00FA1C1A" w:rsidP="00FA1C1A">
      <w:pPr>
        <w:spacing w:before="120" w:after="120"/>
        <w:jc w:val="both"/>
        <w:rPr>
          <w:rFonts w:eastAsia="Times New Roman" w:cs="Arial"/>
          <w:lang w:eastAsia="en-ZA"/>
        </w:rPr>
      </w:pPr>
      <w:r w:rsidRPr="00FA1C1A">
        <w:rPr>
          <w:rFonts w:eastAsia="Times New Roman" w:cs="Arial"/>
          <w:lang w:eastAsia="en-ZA"/>
        </w:rPr>
        <w:t>Lesetja Kganyago, governor of the South African Reserve Bank. (Getty)</w:t>
      </w:r>
    </w:p>
    <w:p w14:paraId="04953081" w14:textId="77777777" w:rsidR="00FA1C1A" w:rsidRPr="00FA1C1A" w:rsidRDefault="00FA1C1A" w:rsidP="00FA1C1A">
      <w:pPr>
        <w:numPr>
          <w:ilvl w:val="0"/>
          <w:numId w:val="21"/>
        </w:numPr>
        <w:tabs>
          <w:tab w:val="clear" w:pos="720"/>
        </w:tabs>
        <w:spacing w:before="120" w:after="120"/>
        <w:ind w:left="397" w:hanging="284"/>
        <w:jc w:val="both"/>
        <w:rPr>
          <w:rFonts w:eastAsia="Times New Roman" w:cs="Arial"/>
          <w:lang w:eastAsia="en-ZA"/>
        </w:rPr>
      </w:pPr>
      <w:r w:rsidRPr="00FA1C1A">
        <w:rPr>
          <w:rFonts w:eastAsia="Times New Roman" w:cs="Arial"/>
          <w:b/>
          <w:bCs/>
          <w:lang w:eastAsia="en-ZA"/>
        </w:rPr>
        <w:t>If the Reserve Bank starts to cut rates in July - and history repeats itself - better times may be ahead for the local market.</w:t>
      </w:r>
    </w:p>
    <w:p w14:paraId="6A728A52" w14:textId="77777777" w:rsidR="00FA1C1A" w:rsidRPr="00FA1C1A" w:rsidRDefault="00FA1C1A" w:rsidP="00FA1C1A">
      <w:pPr>
        <w:numPr>
          <w:ilvl w:val="0"/>
          <w:numId w:val="21"/>
        </w:numPr>
        <w:tabs>
          <w:tab w:val="clear" w:pos="720"/>
        </w:tabs>
        <w:spacing w:before="120" w:after="120"/>
        <w:ind w:left="397" w:hanging="284"/>
        <w:jc w:val="both"/>
        <w:rPr>
          <w:rFonts w:eastAsia="Times New Roman" w:cs="Arial"/>
          <w:lang w:eastAsia="en-ZA"/>
        </w:rPr>
      </w:pPr>
      <w:r w:rsidRPr="00FA1C1A">
        <w:rPr>
          <w:rFonts w:eastAsia="Times New Roman" w:cs="Arial"/>
          <w:b/>
          <w:bCs/>
          <w:lang w:eastAsia="en-ZA"/>
        </w:rPr>
        <w:t>Over the past half a century, South African shares have never failed to enjoy strong gains in declining interest rate cycles, an analysis by a portfolio manager shows.</w:t>
      </w:r>
    </w:p>
    <w:p w14:paraId="4731543D" w14:textId="77777777" w:rsidR="00FA1C1A" w:rsidRPr="00FA1C1A" w:rsidRDefault="00FA1C1A" w:rsidP="00FA1C1A">
      <w:pPr>
        <w:numPr>
          <w:ilvl w:val="0"/>
          <w:numId w:val="21"/>
        </w:numPr>
        <w:tabs>
          <w:tab w:val="clear" w:pos="720"/>
        </w:tabs>
        <w:spacing w:before="120" w:after="120"/>
        <w:ind w:left="397" w:hanging="284"/>
        <w:jc w:val="both"/>
        <w:rPr>
          <w:rFonts w:eastAsia="Times New Roman" w:cs="Arial"/>
          <w:lang w:eastAsia="en-ZA"/>
        </w:rPr>
      </w:pPr>
      <w:r w:rsidRPr="00FA1C1A">
        <w:rPr>
          <w:rFonts w:eastAsia="Times New Roman" w:cs="Arial"/>
          <w:b/>
          <w:bCs/>
          <w:lang w:eastAsia="en-ZA"/>
        </w:rPr>
        <w:t xml:space="preserve">For more stories, go to </w:t>
      </w:r>
      <w:hyperlink r:id="rId149" w:tgtFrame="_blank" w:history="1">
        <w:r w:rsidRPr="00FA1C1A">
          <w:rPr>
            <w:rFonts w:eastAsia="Times New Roman" w:cs="Arial"/>
            <w:b/>
            <w:bCs/>
            <w:color w:val="0000FF"/>
            <w:u w:val="single"/>
            <w:lang w:eastAsia="en-ZA"/>
          </w:rPr>
          <w:t>Business Insider SA</w:t>
        </w:r>
      </w:hyperlink>
      <w:r w:rsidRPr="00FA1C1A">
        <w:rPr>
          <w:rFonts w:eastAsia="Times New Roman" w:cs="Arial"/>
          <w:b/>
          <w:bCs/>
          <w:lang w:eastAsia="en-ZA"/>
        </w:rPr>
        <w:t>.</w:t>
      </w:r>
    </w:p>
    <w:p w14:paraId="4A7989F1" w14:textId="77777777" w:rsidR="00FA1C1A" w:rsidRPr="00FA1C1A" w:rsidRDefault="00FA1C1A" w:rsidP="00FA1C1A">
      <w:pPr>
        <w:spacing w:before="120" w:after="120"/>
        <w:jc w:val="both"/>
        <w:rPr>
          <w:rFonts w:eastAsia="Times New Roman" w:cs="Arial"/>
          <w:lang w:eastAsia="en-ZA"/>
        </w:rPr>
      </w:pPr>
      <w:r w:rsidRPr="00FA1C1A">
        <w:rPr>
          <w:rFonts w:eastAsia="Times New Roman" w:cs="Arial"/>
          <w:lang w:eastAsia="en-ZA"/>
        </w:rPr>
        <w:pict w14:anchorId="561D7F6E">
          <v:rect id="_x0000_i1026" style="width:0;height:1.5pt" o:hralign="center" o:hrstd="t" o:hr="t" fillcolor="#a0a0a0" stroked="f"/>
        </w:pict>
      </w:r>
    </w:p>
    <w:p w14:paraId="33ADBDF7" w14:textId="77777777" w:rsidR="00FA1C1A" w:rsidRPr="00FA1C1A" w:rsidRDefault="00FA1C1A" w:rsidP="00FA1C1A">
      <w:pPr>
        <w:spacing w:before="120" w:after="120"/>
        <w:jc w:val="both"/>
        <w:rPr>
          <w:rFonts w:eastAsia="Times New Roman" w:cs="Arial"/>
          <w:lang w:eastAsia="en-ZA"/>
        </w:rPr>
      </w:pPr>
      <w:r w:rsidRPr="00FA1C1A">
        <w:rPr>
          <w:rFonts w:eastAsia="Times New Roman" w:cs="Arial"/>
          <w:lang w:eastAsia="en-ZA"/>
        </w:rPr>
        <w:t>It will be a massive surprise if the Reserve Bank doesn’t cut rates when the monetary policy committee announces its decision on July 18</w:t>
      </w:r>
      <w:r w:rsidRPr="00FA1C1A">
        <w:rPr>
          <w:rFonts w:eastAsia="Times New Roman" w:cs="Arial"/>
          <w:vertAlign w:val="superscript"/>
          <w:lang w:eastAsia="en-ZA"/>
        </w:rPr>
        <w:t>th</w:t>
      </w:r>
      <w:r w:rsidRPr="00FA1C1A">
        <w:rPr>
          <w:rFonts w:eastAsia="Times New Roman" w:cs="Arial"/>
          <w:lang w:eastAsia="en-ZA"/>
        </w:rPr>
        <w:t>.</w:t>
      </w:r>
    </w:p>
    <w:p w14:paraId="2B5D7749" w14:textId="77777777" w:rsidR="00FA1C1A" w:rsidRPr="00FA1C1A" w:rsidRDefault="00FA1C1A" w:rsidP="00FA1C1A">
      <w:pPr>
        <w:spacing w:before="120" w:after="120"/>
        <w:jc w:val="both"/>
        <w:rPr>
          <w:rFonts w:eastAsia="Times New Roman" w:cs="Arial"/>
          <w:lang w:eastAsia="en-ZA"/>
        </w:rPr>
      </w:pPr>
      <w:r w:rsidRPr="00FA1C1A">
        <w:rPr>
          <w:rFonts w:eastAsia="Times New Roman" w:cs="Arial"/>
          <w:lang w:eastAsia="en-ZA"/>
        </w:rPr>
        <w:t xml:space="preserve">The evidence in support of a cut is overwhelming: the economy is bleeding, inflation remains in check, the chairman of the Fed has confirmed that the US will cut rates soon, and the rand is looking well-behaved. </w:t>
      </w:r>
    </w:p>
    <w:p w14:paraId="3BB5FB18" w14:textId="7DDB3C22" w:rsidR="00FA1C1A" w:rsidRPr="00FA1C1A" w:rsidRDefault="00FA1C1A" w:rsidP="00FA1C1A">
      <w:pPr>
        <w:spacing w:before="120" w:after="120"/>
        <w:jc w:val="both"/>
        <w:rPr>
          <w:rFonts w:eastAsia="Times New Roman" w:cs="Arial"/>
          <w:lang w:eastAsia="en-ZA"/>
        </w:rPr>
      </w:pPr>
      <w:r w:rsidRPr="00FA1C1A">
        <w:rPr>
          <w:rFonts w:eastAsia="Times New Roman" w:cs="Arial"/>
          <w:lang w:eastAsia="en-ZA"/>
        </w:rPr>
        <w:t xml:space="preserve">If South Africa’s experience over the past 46 years repeats itself, if </w:t>
      </w:r>
      <w:r>
        <w:rPr>
          <w:rFonts w:eastAsia="Times New Roman" w:cs="Arial"/>
          <w:lang w:eastAsia="en-ZA"/>
        </w:rPr>
        <w:t>more decreases follow the cut</w:t>
      </w:r>
      <w:r w:rsidRPr="00FA1C1A">
        <w:rPr>
          <w:rFonts w:eastAsia="Times New Roman" w:cs="Arial"/>
          <w:lang w:eastAsia="en-ZA"/>
        </w:rPr>
        <w:t xml:space="preserve">, it could signal the start of strong gains on the JSE. </w:t>
      </w:r>
    </w:p>
    <w:p w14:paraId="4F6E9DD0" w14:textId="33EBFF12" w:rsidR="00FA1C1A" w:rsidRPr="00FA1C1A" w:rsidRDefault="00FA1C1A" w:rsidP="00FA1C1A">
      <w:pPr>
        <w:spacing w:before="120" w:after="120"/>
        <w:jc w:val="both"/>
        <w:rPr>
          <w:rFonts w:eastAsia="Times New Roman" w:cs="Arial"/>
          <w:lang w:eastAsia="en-ZA"/>
        </w:rPr>
      </w:pPr>
      <w:r w:rsidRPr="00FA1C1A">
        <w:rPr>
          <w:rFonts w:eastAsia="Times New Roman" w:cs="Arial"/>
          <w:lang w:eastAsia="en-ZA"/>
        </w:rPr>
        <w:t>Since 1973, the local market has always seen strong gains when during a declining interest</w:t>
      </w:r>
      <w:r>
        <w:rPr>
          <w:rFonts w:eastAsia="Times New Roman" w:cs="Arial"/>
          <w:lang w:eastAsia="en-ZA"/>
        </w:rPr>
        <w:t>-</w:t>
      </w:r>
      <w:r w:rsidRPr="00FA1C1A">
        <w:rPr>
          <w:rFonts w:eastAsia="Times New Roman" w:cs="Arial"/>
          <w:lang w:eastAsia="en-ZA"/>
        </w:rPr>
        <w:t>rate phase – without exception, an analysis by Schalk Louw, portfolio manager and strategist at PSG Wealth Old Oak, shows.</w:t>
      </w:r>
    </w:p>
    <w:p w14:paraId="61A90316" w14:textId="77777777" w:rsidR="00FA1C1A" w:rsidRPr="00FA1C1A" w:rsidRDefault="00FA1C1A" w:rsidP="00FA1C1A">
      <w:pPr>
        <w:spacing w:before="120" w:after="120"/>
        <w:jc w:val="both"/>
        <w:rPr>
          <w:rFonts w:eastAsia="Times New Roman" w:cs="Arial"/>
          <w:lang w:eastAsia="en-ZA"/>
        </w:rPr>
      </w:pPr>
      <w:r w:rsidRPr="00FA1C1A">
        <w:rPr>
          <w:rFonts w:eastAsia="Times New Roman" w:cs="Arial"/>
          <w:lang w:eastAsia="en-ZA"/>
        </w:rPr>
        <w:t>A declining interest rate phase is the period when rates move from a high to a low point - in the past 46 years, these periods lasted on average 32 months in South Africa. Rising interest phases (when interest rates are increased) spanned average periods of 31 months. </w:t>
      </w:r>
    </w:p>
    <w:p w14:paraId="2BE84A9F" w14:textId="0F937A45" w:rsidR="00FA1C1A" w:rsidRPr="00FA1C1A" w:rsidRDefault="00FA1C1A" w:rsidP="00FA1C1A">
      <w:pPr>
        <w:spacing w:before="120" w:after="120"/>
        <w:jc w:val="both"/>
        <w:rPr>
          <w:rFonts w:eastAsia="Times New Roman" w:cs="Arial"/>
          <w:lang w:eastAsia="en-ZA"/>
        </w:rPr>
      </w:pPr>
      <w:r w:rsidRPr="00FA1C1A">
        <w:rPr>
          <w:rFonts w:eastAsia="Times New Roman" w:cs="Arial"/>
          <w:lang w:eastAsia="en-ZA"/>
        </w:rPr>
        <w:lastRenderedPageBreak/>
        <w:t>“When we consider the equity markets during these phases, it is quite striking that we never saw a negative market during a declining interest</w:t>
      </w:r>
      <w:r>
        <w:rPr>
          <w:rFonts w:eastAsia="Times New Roman" w:cs="Arial"/>
          <w:lang w:eastAsia="en-ZA"/>
        </w:rPr>
        <w:t>-</w:t>
      </w:r>
      <w:r w:rsidRPr="00FA1C1A">
        <w:rPr>
          <w:rFonts w:eastAsia="Times New Roman" w:cs="Arial"/>
          <w:lang w:eastAsia="en-ZA"/>
        </w:rPr>
        <w:t>rate phase since 1973. On the contrary, the market bloomed like the Namaqualand in spring,” says Louw.</w:t>
      </w:r>
    </w:p>
    <w:p w14:paraId="09837142" w14:textId="7F57B7FC" w:rsidR="00FA1C1A" w:rsidRPr="00FA1C1A" w:rsidRDefault="00FA1C1A" w:rsidP="00FA1C1A">
      <w:pPr>
        <w:spacing w:before="120" w:after="120"/>
        <w:jc w:val="both"/>
        <w:rPr>
          <w:rFonts w:eastAsia="Times New Roman" w:cs="Arial"/>
          <w:lang w:eastAsia="en-ZA"/>
        </w:rPr>
      </w:pPr>
      <w:r w:rsidRPr="00FA1C1A">
        <w:rPr>
          <w:rFonts w:eastAsia="Times New Roman" w:cs="Arial"/>
          <w:lang w:eastAsia="en-ZA"/>
        </w:rPr>
        <w:t>The average growth during a declining interest</w:t>
      </w:r>
      <w:r>
        <w:rPr>
          <w:rFonts w:eastAsia="Times New Roman" w:cs="Arial"/>
          <w:lang w:eastAsia="en-ZA"/>
        </w:rPr>
        <w:t>-</w:t>
      </w:r>
      <w:r w:rsidRPr="00FA1C1A">
        <w:rPr>
          <w:rFonts w:eastAsia="Times New Roman" w:cs="Arial"/>
          <w:lang w:eastAsia="en-ZA"/>
        </w:rPr>
        <w:t>rate phase between 1973 and 2015 was a staggering 36% per year, while you would have only earned 0.5% growth on your capital during a rising interest rate phase.</w:t>
      </w:r>
    </w:p>
    <w:p w14:paraId="129CACFF" w14:textId="77777777" w:rsidR="00FA1C1A" w:rsidRPr="00FA1C1A" w:rsidRDefault="00FA1C1A" w:rsidP="00FA1C1A">
      <w:pPr>
        <w:spacing w:before="120" w:after="120"/>
        <w:jc w:val="both"/>
        <w:rPr>
          <w:rFonts w:eastAsia="Times New Roman" w:cs="Arial"/>
          <w:lang w:eastAsia="en-ZA"/>
        </w:rPr>
      </w:pPr>
      <w:r w:rsidRPr="00FA1C1A">
        <w:rPr>
          <w:rFonts w:eastAsia="Times New Roman" w:cs="Arial"/>
          <w:lang w:eastAsia="en-ZA"/>
        </w:rPr>
        <w:t>The following graphs show that you would have outperformed the money market during the past six declining interest rate phases, while this would not have been possible during a rising interest rate phase.</w:t>
      </w:r>
    </w:p>
    <w:p w14:paraId="1FA57912" w14:textId="77777777" w:rsidR="00FA1C1A" w:rsidRPr="00FA1C1A" w:rsidRDefault="00FA1C1A" w:rsidP="00FA1C1A">
      <w:pPr>
        <w:rPr>
          <w:rFonts w:ascii="Times New Roman" w:eastAsia="Times New Roman" w:hAnsi="Times New Roman" w:cs="Times New Roman"/>
          <w:sz w:val="24"/>
          <w:szCs w:val="24"/>
          <w:lang w:eastAsia="en-ZA"/>
        </w:rPr>
      </w:pPr>
      <w:r w:rsidRPr="00FA1C1A">
        <w:rPr>
          <w:rFonts w:ascii="Times New Roman" w:eastAsia="Times New Roman" w:hAnsi="Times New Roman" w:cs="Times New Roman"/>
          <w:noProof/>
          <w:sz w:val="24"/>
          <w:szCs w:val="24"/>
          <w:lang w:eastAsia="en-ZA"/>
        </w:rPr>
        <w:drawing>
          <wp:inline distT="0" distB="0" distL="0" distR="0" wp14:anchorId="0F420137" wp14:editId="5B29C44A">
            <wp:extent cx="5692140" cy="1982585"/>
            <wp:effectExtent l="0" t="0" r="3810" b="0"/>
            <wp:docPr id="26" name="Picture 26"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 "/>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5764475" cy="2007779"/>
                    </a:xfrm>
                    <a:prstGeom prst="rect">
                      <a:avLst/>
                    </a:prstGeom>
                    <a:noFill/>
                    <a:ln>
                      <a:noFill/>
                    </a:ln>
                  </pic:spPr>
                </pic:pic>
              </a:graphicData>
            </a:graphic>
          </wp:inline>
        </w:drawing>
      </w:r>
    </w:p>
    <w:p w14:paraId="2A22777D" w14:textId="77777777" w:rsidR="00FA1C1A" w:rsidRPr="00FA1C1A" w:rsidRDefault="00FA1C1A" w:rsidP="00FA1C1A">
      <w:pPr>
        <w:rPr>
          <w:rFonts w:ascii="Times New Roman" w:eastAsia="Times New Roman" w:hAnsi="Times New Roman" w:cs="Times New Roman"/>
          <w:sz w:val="24"/>
          <w:szCs w:val="24"/>
          <w:lang w:eastAsia="en-ZA"/>
        </w:rPr>
      </w:pPr>
      <w:r w:rsidRPr="00FA1C1A">
        <w:rPr>
          <w:rFonts w:ascii="Times New Roman" w:eastAsia="Times New Roman" w:hAnsi="Times New Roman" w:cs="Times New Roman"/>
          <w:noProof/>
          <w:sz w:val="24"/>
          <w:szCs w:val="24"/>
          <w:lang w:eastAsia="en-ZA"/>
        </w:rPr>
        <w:drawing>
          <wp:inline distT="0" distB="0" distL="0" distR="0" wp14:anchorId="0209F070" wp14:editId="315EE23F">
            <wp:extent cx="5688162" cy="1981200"/>
            <wp:effectExtent l="0" t="0" r="8255" b="0"/>
            <wp:docPr id="27" name="Picture 27"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 "/>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5795308" cy="2018519"/>
                    </a:xfrm>
                    <a:prstGeom prst="rect">
                      <a:avLst/>
                    </a:prstGeom>
                    <a:noFill/>
                    <a:ln>
                      <a:noFill/>
                    </a:ln>
                  </pic:spPr>
                </pic:pic>
              </a:graphicData>
            </a:graphic>
          </wp:inline>
        </w:drawing>
      </w:r>
    </w:p>
    <w:p w14:paraId="074EC8FC" w14:textId="77777777" w:rsidR="00FA1C1A" w:rsidRPr="00FA1C1A" w:rsidRDefault="00FA1C1A" w:rsidP="00FA1C1A">
      <w:pPr>
        <w:rPr>
          <w:rFonts w:ascii="Times New Roman" w:eastAsia="Times New Roman" w:hAnsi="Times New Roman" w:cs="Times New Roman"/>
          <w:sz w:val="24"/>
          <w:szCs w:val="24"/>
          <w:lang w:eastAsia="en-ZA"/>
        </w:rPr>
      </w:pPr>
      <w:r w:rsidRPr="00FA1C1A">
        <w:rPr>
          <w:rFonts w:ascii="Times New Roman" w:eastAsia="Times New Roman" w:hAnsi="Times New Roman" w:cs="Times New Roman"/>
          <w:noProof/>
          <w:sz w:val="24"/>
          <w:szCs w:val="24"/>
          <w:lang w:eastAsia="en-ZA"/>
        </w:rPr>
        <w:drawing>
          <wp:inline distT="0" distB="0" distL="0" distR="0" wp14:anchorId="56598B7B" wp14:editId="1FCE4053">
            <wp:extent cx="5699760" cy="1997725"/>
            <wp:effectExtent l="0" t="0" r="0" b="2540"/>
            <wp:docPr id="28" name="Picture 28"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 "/>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5749507" cy="2015161"/>
                    </a:xfrm>
                    <a:prstGeom prst="rect">
                      <a:avLst/>
                    </a:prstGeom>
                    <a:noFill/>
                    <a:ln>
                      <a:noFill/>
                    </a:ln>
                  </pic:spPr>
                </pic:pic>
              </a:graphicData>
            </a:graphic>
          </wp:inline>
        </w:drawing>
      </w:r>
    </w:p>
    <w:p w14:paraId="74812577" w14:textId="77777777" w:rsidR="00FA1C1A" w:rsidRPr="00FA1C1A" w:rsidRDefault="00FA1C1A" w:rsidP="00FA1C1A">
      <w:pPr>
        <w:rPr>
          <w:rFonts w:ascii="Times New Roman" w:eastAsia="Times New Roman" w:hAnsi="Times New Roman" w:cs="Times New Roman"/>
          <w:sz w:val="24"/>
          <w:szCs w:val="24"/>
          <w:lang w:eastAsia="en-ZA"/>
        </w:rPr>
      </w:pPr>
      <w:r w:rsidRPr="00FA1C1A">
        <w:rPr>
          <w:rFonts w:ascii="Times New Roman" w:eastAsia="Times New Roman" w:hAnsi="Times New Roman" w:cs="Times New Roman"/>
          <w:noProof/>
          <w:sz w:val="24"/>
          <w:szCs w:val="24"/>
          <w:lang w:eastAsia="en-ZA"/>
        </w:rPr>
        <w:lastRenderedPageBreak/>
        <w:drawing>
          <wp:inline distT="0" distB="0" distL="0" distR="0" wp14:anchorId="397F75CE" wp14:editId="7C72D8A9">
            <wp:extent cx="5684520" cy="2054015"/>
            <wp:effectExtent l="0" t="0" r="0" b="3810"/>
            <wp:docPr id="29" name="Picture 29"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 "/>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5759657" cy="2081165"/>
                    </a:xfrm>
                    <a:prstGeom prst="rect">
                      <a:avLst/>
                    </a:prstGeom>
                    <a:noFill/>
                    <a:ln>
                      <a:noFill/>
                    </a:ln>
                  </pic:spPr>
                </pic:pic>
              </a:graphicData>
            </a:graphic>
          </wp:inline>
        </w:drawing>
      </w:r>
    </w:p>
    <w:p w14:paraId="19872FBB" w14:textId="3310AC6D" w:rsidR="00FA1C1A" w:rsidRPr="00FA1C1A" w:rsidRDefault="00FA1C1A" w:rsidP="00FA1C1A">
      <w:pPr>
        <w:spacing w:before="100" w:beforeAutospacing="1" w:after="100" w:afterAutospacing="1"/>
        <w:rPr>
          <w:rFonts w:eastAsia="Times New Roman" w:cs="Arial"/>
          <w:lang w:eastAsia="en-ZA"/>
        </w:rPr>
      </w:pPr>
      <w:r>
        <w:rPr>
          <w:rFonts w:eastAsia="Times New Roman" w:cs="Arial"/>
          <w:lang w:eastAsia="en-ZA"/>
        </w:rPr>
        <w:t>When interest rates rose from July 2012 to March 2016</w:t>
      </w:r>
      <w:r w:rsidRPr="00FA1C1A">
        <w:rPr>
          <w:rFonts w:eastAsia="Times New Roman" w:cs="Arial"/>
          <w:lang w:eastAsia="en-ZA"/>
        </w:rPr>
        <w:t>, the JSE’s all share index delivered an average gain of less than 4% a year (15% over the period), below inflation.</w:t>
      </w:r>
    </w:p>
    <w:p w14:paraId="723EE92E" w14:textId="2CD90051" w:rsidR="00FA1C1A" w:rsidRPr="00FA1C1A" w:rsidRDefault="00FA1C1A" w:rsidP="00FA1C1A">
      <w:pPr>
        <w:spacing w:before="100" w:beforeAutospacing="1" w:after="100" w:afterAutospacing="1"/>
        <w:rPr>
          <w:rFonts w:eastAsia="Times New Roman" w:cs="Arial"/>
          <w:lang w:eastAsia="en-ZA"/>
        </w:rPr>
      </w:pPr>
      <w:r w:rsidRPr="00FA1C1A">
        <w:rPr>
          <w:rFonts w:eastAsia="Times New Roman" w:cs="Arial"/>
          <w:lang w:eastAsia="en-ZA"/>
        </w:rPr>
        <w:t>Since then</w:t>
      </w:r>
      <w:r>
        <w:rPr>
          <w:rFonts w:eastAsia="Times New Roman" w:cs="Arial"/>
          <w:lang w:eastAsia="en-ZA"/>
        </w:rPr>
        <w:t>,</w:t>
      </w:r>
      <w:r w:rsidRPr="00FA1C1A">
        <w:rPr>
          <w:rFonts w:eastAsia="Times New Roman" w:cs="Arial"/>
          <w:lang w:eastAsia="en-ZA"/>
        </w:rPr>
        <w:t xml:space="preserve"> the Reserve Bank has zig-zagged on rates, with no clear rising or declining phase:</w:t>
      </w:r>
    </w:p>
    <w:p w14:paraId="72847827" w14:textId="77777777" w:rsidR="00FA1C1A" w:rsidRPr="00FA1C1A" w:rsidRDefault="00FA1C1A" w:rsidP="00FA1C1A">
      <w:pPr>
        <w:jc w:val="center"/>
        <w:rPr>
          <w:rFonts w:ascii="Times New Roman" w:eastAsia="Times New Roman" w:hAnsi="Times New Roman" w:cs="Times New Roman"/>
          <w:sz w:val="24"/>
          <w:szCs w:val="24"/>
          <w:lang w:eastAsia="en-ZA"/>
        </w:rPr>
      </w:pPr>
      <w:r w:rsidRPr="00FA1C1A">
        <w:rPr>
          <w:rFonts w:ascii="Times New Roman" w:eastAsia="Times New Roman" w:hAnsi="Times New Roman" w:cs="Times New Roman"/>
          <w:noProof/>
          <w:sz w:val="24"/>
          <w:szCs w:val="24"/>
          <w:lang w:eastAsia="en-ZA"/>
        </w:rPr>
        <w:drawing>
          <wp:inline distT="0" distB="0" distL="0" distR="0" wp14:anchorId="016A8C69" wp14:editId="029CEC3B">
            <wp:extent cx="5383305" cy="4335780"/>
            <wp:effectExtent l="0" t="0" r="8255" b="7620"/>
            <wp:docPr id="30" name="Picture 30"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 "/>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5401788" cy="4350667"/>
                    </a:xfrm>
                    <a:prstGeom prst="rect">
                      <a:avLst/>
                    </a:prstGeom>
                    <a:noFill/>
                    <a:ln>
                      <a:noFill/>
                    </a:ln>
                  </pic:spPr>
                </pic:pic>
              </a:graphicData>
            </a:graphic>
          </wp:inline>
        </w:drawing>
      </w:r>
    </w:p>
    <w:p w14:paraId="5F02667A" w14:textId="77777777" w:rsidR="00FA1C1A" w:rsidRPr="00FA1C1A" w:rsidRDefault="00FA1C1A" w:rsidP="00FA1C1A">
      <w:pPr>
        <w:spacing w:before="120" w:after="120"/>
        <w:rPr>
          <w:rFonts w:eastAsia="Times New Roman" w:cs="Arial"/>
          <w:b/>
          <w:bCs/>
          <w:lang w:eastAsia="en-ZA"/>
        </w:rPr>
      </w:pPr>
      <w:r w:rsidRPr="00FA1C1A">
        <w:rPr>
          <w:rFonts w:eastAsia="Times New Roman" w:cs="Arial"/>
          <w:b/>
          <w:bCs/>
          <w:lang w:eastAsia="en-ZA"/>
        </w:rPr>
        <w:t>Repo rate (SA Reserve Bank)</w:t>
      </w:r>
    </w:p>
    <w:p w14:paraId="7A224F54" w14:textId="72777B65" w:rsidR="00FA1C1A" w:rsidRPr="00FA1C1A" w:rsidRDefault="00FA1C1A" w:rsidP="00FA1C1A">
      <w:pPr>
        <w:spacing w:before="120" w:after="120"/>
        <w:rPr>
          <w:rFonts w:eastAsia="Times New Roman" w:cs="Arial"/>
          <w:lang w:eastAsia="en-ZA"/>
        </w:rPr>
      </w:pPr>
      <w:r w:rsidRPr="00FA1C1A">
        <w:rPr>
          <w:rFonts w:eastAsia="Times New Roman" w:cs="Arial"/>
          <w:lang w:eastAsia="en-ZA"/>
        </w:rPr>
        <w:t xml:space="preserve">During this time, share prices have </w:t>
      </w:r>
      <w:r>
        <w:rPr>
          <w:rFonts w:eastAsia="Times New Roman" w:cs="Arial"/>
          <w:lang w:eastAsia="en-ZA"/>
        </w:rPr>
        <w:t>struggled</w:t>
      </w:r>
      <w:r w:rsidRPr="00FA1C1A">
        <w:rPr>
          <w:rFonts w:eastAsia="Times New Roman" w:cs="Arial"/>
          <w:lang w:eastAsia="en-ZA"/>
        </w:rPr>
        <w:t>, and the JSE is now lower than a year ago.</w:t>
      </w:r>
    </w:p>
    <w:p w14:paraId="114A30C5" w14:textId="6884FB06" w:rsidR="00FA1C1A" w:rsidRPr="00FA1C1A" w:rsidRDefault="00FA1C1A" w:rsidP="00FA1C1A">
      <w:pPr>
        <w:spacing w:before="120" w:after="120"/>
        <w:rPr>
          <w:rFonts w:eastAsia="Times New Roman" w:cs="Arial"/>
          <w:lang w:eastAsia="en-ZA"/>
        </w:rPr>
      </w:pPr>
      <w:r w:rsidRPr="00FA1C1A">
        <w:rPr>
          <w:rFonts w:eastAsia="Times New Roman" w:cs="Arial"/>
          <w:lang w:eastAsia="en-ZA"/>
        </w:rPr>
        <w:t>Louw believes that if rates start to decline from next month and a declining cycle starts in earnest, this could shift the market’s trajectory.</w:t>
      </w:r>
    </w:p>
    <w:p w14:paraId="663DB4BB" w14:textId="170BA778" w:rsidR="00FA1C1A" w:rsidRDefault="00FA1C1A" w:rsidP="00FA1C1A">
      <w:pPr>
        <w:spacing w:before="120" w:after="120"/>
        <w:rPr>
          <w:rFonts w:eastAsia="Times New Roman" w:cs="Arial"/>
          <w:lang w:eastAsia="en-ZA"/>
        </w:rPr>
      </w:pPr>
      <w:r w:rsidRPr="00FA1C1A">
        <w:rPr>
          <w:rFonts w:eastAsia="Times New Roman" w:cs="Arial"/>
          <w:lang w:eastAsia="en-ZA"/>
        </w:rPr>
        <w:t>“Whether you believe in historical movements or not, shares and interest rates go hand in hand.”</w:t>
      </w:r>
    </w:p>
    <w:p w14:paraId="35246995" w14:textId="6D3CF9AA" w:rsidR="00FA1C1A" w:rsidRDefault="00FA1C1A" w:rsidP="00FA1C1A">
      <w:pPr>
        <w:spacing w:before="120" w:after="120"/>
        <w:rPr>
          <w:rFonts w:eastAsia="Times New Roman" w:cs="Arial"/>
          <w:lang w:eastAsia="en-ZA"/>
        </w:rPr>
      </w:pPr>
      <w:hyperlink r:id="rId154" w:history="1">
        <w:r w:rsidRPr="005E7EB2">
          <w:rPr>
            <w:rStyle w:val="Hyperlink"/>
            <w:rFonts w:eastAsia="Times New Roman" w:cs="Arial"/>
            <w:lang w:eastAsia="en-ZA"/>
          </w:rPr>
          <w:t>https://www.businessinsider.co.za/lower-interest-rates-boost-shares-2019-6</w:t>
        </w:r>
      </w:hyperlink>
    </w:p>
    <w:p w14:paraId="67F93B2F" w14:textId="77777777" w:rsidR="00FA1C1A" w:rsidRPr="00FA1C1A" w:rsidRDefault="00FA1C1A" w:rsidP="00FA1C1A">
      <w:pPr>
        <w:spacing w:before="120" w:after="120"/>
        <w:jc w:val="both"/>
        <w:outlineLvl w:val="0"/>
        <w:rPr>
          <w:rFonts w:eastAsia="Times New Roman" w:cs="Arial"/>
          <w:b/>
          <w:bCs/>
          <w:kern w:val="36"/>
          <w:sz w:val="28"/>
          <w:szCs w:val="28"/>
          <w:lang w:eastAsia="en-ZA"/>
        </w:rPr>
      </w:pPr>
      <w:r w:rsidRPr="00FA1C1A">
        <w:rPr>
          <w:rFonts w:eastAsia="Times New Roman" w:cs="Arial"/>
          <w:b/>
          <w:bCs/>
          <w:kern w:val="36"/>
          <w:sz w:val="28"/>
          <w:szCs w:val="28"/>
          <w:lang w:eastAsia="en-ZA"/>
        </w:rPr>
        <w:lastRenderedPageBreak/>
        <w:t xml:space="preserve">Hawkish comments from US Fed push JSE lower </w:t>
      </w:r>
    </w:p>
    <w:p w14:paraId="5F605AF4" w14:textId="77777777" w:rsidR="00FA1C1A" w:rsidRPr="00FA1C1A" w:rsidRDefault="00FA1C1A" w:rsidP="00FA1C1A">
      <w:pPr>
        <w:spacing w:before="120" w:after="120"/>
        <w:jc w:val="both"/>
        <w:outlineLvl w:val="2"/>
        <w:rPr>
          <w:rFonts w:eastAsia="Times New Roman" w:cs="Arial"/>
          <w:b/>
          <w:bCs/>
          <w:lang w:eastAsia="en-ZA"/>
        </w:rPr>
      </w:pPr>
      <w:r w:rsidRPr="00FA1C1A">
        <w:rPr>
          <w:rFonts w:eastAsia="Times New Roman" w:cs="Arial"/>
          <w:b/>
          <w:bCs/>
          <w:lang w:eastAsia="en-ZA"/>
        </w:rPr>
        <w:t xml:space="preserve">US Federal Reserve chair Jerome Powell warned on Wednesday that the rate cut was not the start of an easing cycle </w:t>
      </w:r>
    </w:p>
    <w:p w14:paraId="0E8E3D87" w14:textId="77777777" w:rsidR="00FA1C1A" w:rsidRPr="00FA1C1A" w:rsidRDefault="00FA1C1A" w:rsidP="00FA1C1A">
      <w:pPr>
        <w:spacing w:before="120" w:after="120"/>
        <w:jc w:val="both"/>
        <w:rPr>
          <w:rFonts w:eastAsia="Times New Roman" w:cs="Arial"/>
          <w:lang w:eastAsia="en-ZA"/>
        </w:rPr>
      </w:pPr>
      <w:hyperlink r:id="rId155" w:tooltip="BL premium" w:history="1">
        <w:r w:rsidRPr="00FA1C1A">
          <w:rPr>
            <w:rFonts w:eastAsia="Times New Roman" w:cs="Arial"/>
            <w:color w:val="0000FF"/>
            <w:u w:val="single"/>
            <w:lang w:eastAsia="en-ZA"/>
          </w:rPr>
          <w:t xml:space="preserve">BL Premium </w:t>
        </w:r>
      </w:hyperlink>
    </w:p>
    <w:p w14:paraId="01DB1354" w14:textId="77777777" w:rsidR="00FA1C1A" w:rsidRPr="00FA1C1A" w:rsidRDefault="00FA1C1A" w:rsidP="00FA1C1A">
      <w:pPr>
        <w:spacing w:before="120" w:after="120"/>
        <w:jc w:val="both"/>
        <w:rPr>
          <w:rFonts w:eastAsia="Times New Roman" w:cs="Arial"/>
          <w:lang w:eastAsia="en-ZA"/>
        </w:rPr>
      </w:pPr>
      <w:r w:rsidRPr="00FA1C1A">
        <w:rPr>
          <w:rFonts w:eastAsia="Times New Roman" w:cs="Arial"/>
          <w:lang w:eastAsia="en-ZA"/>
        </w:rPr>
        <w:t xml:space="preserve">01 August 2019 - 10:49 Odwa Mjo </w:t>
      </w:r>
    </w:p>
    <w:p w14:paraId="4C81223B" w14:textId="77777777" w:rsidR="00FA1C1A" w:rsidRPr="00FA1C1A" w:rsidRDefault="00FA1C1A" w:rsidP="00FA1C1A">
      <w:pPr>
        <w:spacing w:before="120" w:after="120"/>
        <w:jc w:val="both"/>
        <w:rPr>
          <w:rFonts w:eastAsia="Times New Roman" w:cs="Arial"/>
          <w:lang w:eastAsia="en-ZA"/>
        </w:rPr>
      </w:pPr>
      <w:r w:rsidRPr="00FA1C1A">
        <w:rPr>
          <w:rFonts w:eastAsia="Times New Roman" w:cs="Arial"/>
          <w:lang w:eastAsia="en-ZA"/>
        </w:rPr>
        <w:t>The JSE opened lower on Thursday, tracking global markets, after the US Federal Reserve dampened market expectations of further monetary policy easing. </w:t>
      </w:r>
    </w:p>
    <w:p w14:paraId="110B0B6E" w14:textId="77777777" w:rsidR="00FA1C1A" w:rsidRPr="00FA1C1A" w:rsidRDefault="00FA1C1A" w:rsidP="00FA1C1A">
      <w:pPr>
        <w:spacing w:before="120" w:after="120"/>
        <w:jc w:val="both"/>
        <w:rPr>
          <w:rFonts w:eastAsia="Times New Roman" w:cs="Arial"/>
          <w:lang w:eastAsia="en-ZA"/>
        </w:rPr>
      </w:pPr>
      <w:r w:rsidRPr="00FA1C1A">
        <w:rPr>
          <w:rFonts w:eastAsia="Times New Roman" w:cs="Arial"/>
          <w:lang w:eastAsia="en-ZA"/>
        </w:rPr>
        <w:t>The Fed cut the interest rate by 25 basis points, the first cut in more than a decade and one that had been priced in by the market. US Federal Reserve chair Jerome Powell, however, said the rate cut was not the start of an easing cycle, dashing the hope that the Fed will cut rates in the coming months. ..</w:t>
      </w:r>
    </w:p>
    <w:p w14:paraId="20B495B8" w14:textId="331B1A90" w:rsidR="00FA1C1A" w:rsidRPr="00FA1C1A" w:rsidRDefault="00FA1C1A" w:rsidP="00FA1C1A">
      <w:pPr>
        <w:spacing w:before="120" w:after="120"/>
        <w:jc w:val="both"/>
        <w:rPr>
          <w:rFonts w:eastAsia="Times New Roman" w:cs="Arial"/>
          <w:b/>
          <w:bCs/>
          <w:color w:val="002060"/>
          <w:lang w:eastAsia="en-ZA"/>
        </w:rPr>
      </w:pPr>
      <w:r w:rsidRPr="00FA1C1A">
        <w:rPr>
          <w:rFonts w:eastAsia="Times New Roman" w:cs="Arial"/>
          <w:b/>
          <w:bCs/>
          <w:color w:val="002060"/>
          <w:lang w:eastAsia="en-ZA"/>
        </w:rPr>
        <w:t>FOR THE REST, YOU NEED TO BE A SUBSCRIBER</w:t>
      </w:r>
    </w:p>
    <w:p w14:paraId="6DF48083" w14:textId="3B3FC2CA" w:rsidR="00E4567F" w:rsidRPr="00FA1C1A" w:rsidRDefault="00FA1C1A" w:rsidP="00FA1C1A">
      <w:pPr>
        <w:spacing w:before="120" w:after="120"/>
        <w:jc w:val="both"/>
        <w:rPr>
          <w:rFonts w:eastAsia="Times New Roman" w:cs="Arial"/>
          <w:color w:val="2A2A2A"/>
          <w:lang w:eastAsia="en-ZA"/>
        </w:rPr>
      </w:pPr>
      <w:hyperlink r:id="rId156" w:history="1">
        <w:r w:rsidRPr="00FA1C1A">
          <w:rPr>
            <w:rStyle w:val="Hyperlink"/>
            <w:rFonts w:eastAsia="Times New Roman" w:cs="Arial"/>
            <w:lang w:eastAsia="en-ZA"/>
          </w:rPr>
          <w:t>https://www.businesslive.co.za/bd/markets/2019-08-01-hawkish-comments-from-us-fed-push-jse-lower/</w:t>
        </w:r>
      </w:hyperlink>
    </w:p>
    <w:p w14:paraId="14A75847" w14:textId="329234B0" w:rsidR="00FA1C1A" w:rsidRPr="00FA1C1A" w:rsidRDefault="00FA1C1A" w:rsidP="00FA1C1A">
      <w:pPr>
        <w:spacing w:before="120" w:after="120"/>
        <w:jc w:val="both"/>
        <w:rPr>
          <w:rFonts w:eastAsia="Times New Roman" w:cs="Arial"/>
          <w:color w:val="2A2A2A"/>
          <w:lang w:eastAsia="en-ZA"/>
        </w:rPr>
      </w:pPr>
    </w:p>
    <w:p w14:paraId="405B8F1A" w14:textId="1C33BFB6" w:rsidR="00FA1C1A" w:rsidRPr="00FA1C1A" w:rsidRDefault="00FA1C1A" w:rsidP="00FA1C1A">
      <w:pPr>
        <w:spacing w:before="120" w:after="120"/>
        <w:jc w:val="both"/>
        <w:outlineLvl w:val="0"/>
        <w:rPr>
          <w:rFonts w:eastAsia="Times New Roman" w:cs="Arial"/>
          <w:b/>
          <w:bCs/>
          <w:kern w:val="36"/>
          <w:sz w:val="28"/>
          <w:szCs w:val="28"/>
          <w:lang w:eastAsia="en-ZA"/>
        </w:rPr>
      </w:pPr>
      <w:r w:rsidRPr="00FA1C1A">
        <w:rPr>
          <w:rFonts w:eastAsia="Times New Roman" w:cs="Arial"/>
          <w:b/>
          <w:bCs/>
          <w:kern w:val="36"/>
          <w:sz w:val="28"/>
          <w:szCs w:val="28"/>
          <w:lang w:eastAsia="en-ZA"/>
        </w:rPr>
        <w:t>American savers lost an estimated $500 billion due to low</w:t>
      </w:r>
      <w:r>
        <w:rPr>
          <w:rFonts w:eastAsia="Times New Roman" w:cs="Arial"/>
          <w:b/>
          <w:bCs/>
          <w:kern w:val="36"/>
          <w:sz w:val="28"/>
          <w:szCs w:val="28"/>
          <w:lang w:eastAsia="en-ZA"/>
        </w:rPr>
        <w:t>-</w:t>
      </w:r>
      <w:r w:rsidRPr="00FA1C1A">
        <w:rPr>
          <w:rFonts w:eastAsia="Times New Roman" w:cs="Arial"/>
          <w:b/>
          <w:bCs/>
          <w:kern w:val="36"/>
          <w:sz w:val="28"/>
          <w:szCs w:val="28"/>
          <w:lang w:eastAsia="en-ZA"/>
        </w:rPr>
        <w:t>interest rates since the financial crisis</w:t>
      </w:r>
    </w:p>
    <w:p w14:paraId="138DAC25" w14:textId="77777777" w:rsidR="00FA1C1A" w:rsidRPr="00FA1C1A" w:rsidRDefault="00FA1C1A" w:rsidP="00FA1C1A">
      <w:pPr>
        <w:spacing w:before="120" w:after="120"/>
        <w:jc w:val="both"/>
        <w:rPr>
          <w:rFonts w:eastAsia="Times New Roman" w:cs="Arial"/>
          <w:lang w:eastAsia="en-ZA"/>
        </w:rPr>
      </w:pPr>
      <w:r w:rsidRPr="00FA1C1A">
        <w:rPr>
          <w:rFonts w:eastAsia="Times New Roman" w:cs="Arial"/>
          <w:lang w:eastAsia="en-ZA"/>
        </w:rPr>
        <w:t>Published Wed, Apr 10 20197:51 AM EDTUpdated Wed, Apr 10 201910:19 AM EDT</w:t>
      </w:r>
    </w:p>
    <w:p w14:paraId="3D11B6CC" w14:textId="77777777" w:rsidR="00FA1C1A" w:rsidRPr="00FA1C1A" w:rsidRDefault="00FA1C1A" w:rsidP="00FA1C1A">
      <w:pPr>
        <w:spacing w:before="120" w:after="120"/>
        <w:jc w:val="both"/>
        <w:rPr>
          <w:rFonts w:eastAsia="Times New Roman" w:cs="Arial"/>
          <w:lang w:eastAsia="en-ZA"/>
        </w:rPr>
      </w:pPr>
      <w:hyperlink r:id="rId157" w:history="1">
        <w:r w:rsidRPr="00FA1C1A">
          <w:rPr>
            <w:rFonts w:eastAsia="Times New Roman" w:cs="Arial"/>
            <w:color w:val="0000FF"/>
            <w:u w:val="single"/>
            <w:lang w:eastAsia="en-ZA"/>
          </w:rPr>
          <w:t>Hugh Son</w:t>
        </w:r>
      </w:hyperlink>
      <w:hyperlink r:id="rId158" w:tgtFrame="_blank" w:history="1">
        <w:r w:rsidRPr="00FA1C1A">
          <w:rPr>
            <w:rFonts w:eastAsia="Times New Roman" w:cs="Arial"/>
            <w:color w:val="0000FF"/>
            <w:u w:val="single"/>
            <w:lang w:eastAsia="en-ZA"/>
          </w:rPr>
          <w:t>@hugh_son</w:t>
        </w:r>
      </w:hyperlink>
    </w:p>
    <w:p w14:paraId="2DFC037A" w14:textId="5FBD608F" w:rsidR="00FA1C1A" w:rsidRPr="00FA1C1A" w:rsidRDefault="00FA1C1A" w:rsidP="00FA1C1A">
      <w:pPr>
        <w:spacing w:before="120" w:after="120"/>
        <w:jc w:val="both"/>
        <w:rPr>
          <w:rFonts w:eastAsia="Times New Roman" w:cs="Arial"/>
          <w:b/>
          <w:bCs/>
          <w:color w:val="FFC000"/>
          <w:lang w:eastAsia="en-ZA"/>
        </w:rPr>
      </w:pPr>
      <w:bookmarkStart w:id="0" w:name="_Hlk89253640"/>
      <w:r w:rsidRPr="00FA1C1A">
        <w:rPr>
          <w:rFonts w:eastAsia="Times New Roman" w:cs="Arial"/>
          <w:b/>
          <w:bCs/>
          <w:color w:val="FFC000"/>
          <w:lang w:eastAsia="en-ZA"/>
        </w:rPr>
        <w:t>CANNOT COPY</w:t>
      </w:r>
    </w:p>
    <w:bookmarkEnd w:id="0"/>
    <w:p w14:paraId="3AF40E66" w14:textId="55EE015B" w:rsidR="00FA1C1A" w:rsidRPr="00FA1C1A" w:rsidRDefault="00FA1C1A" w:rsidP="00FA1C1A">
      <w:pPr>
        <w:spacing w:before="120" w:after="120"/>
        <w:jc w:val="both"/>
        <w:rPr>
          <w:rFonts w:eastAsia="Times New Roman" w:cs="Arial"/>
          <w:color w:val="2A2A2A"/>
          <w:lang w:eastAsia="en-ZA"/>
        </w:rPr>
      </w:pPr>
      <w:r w:rsidRPr="00FA1C1A">
        <w:rPr>
          <w:rFonts w:eastAsia="Times New Roman" w:cs="Arial"/>
          <w:color w:val="2A2A2A"/>
          <w:lang w:eastAsia="en-ZA"/>
        </w:rPr>
        <w:fldChar w:fldCharType="begin"/>
      </w:r>
      <w:r w:rsidRPr="00FA1C1A">
        <w:rPr>
          <w:rFonts w:eastAsia="Times New Roman" w:cs="Arial"/>
          <w:color w:val="2A2A2A"/>
          <w:lang w:eastAsia="en-ZA"/>
        </w:rPr>
        <w:instrText xml:space="preserve"> HYPERLINK "</w:instrText>
      </w:r>
      <w:r w:rsidRPr="00FA1C1A">
        <w:rPr>
          <w:rFonts w:eastAsia="Times New Roman" w:cs="Arial"/>
          <w:color w:val="2A2A2A"/>
          <w:lang w:eastAsia="en-ZA"/>
        </w:rPr>
        <w:instrText>https://www.cnbc.com/2019/04/10/americans-have-lost-500-billion-in-interest-after-financial-crisis.html</w:instrText>
      </w:r>
      <w:r w:rsidRPr="00FA1C1A">
        <w:rPr>
          <w:rFonts w:eastAsia="Times New Roman" w:cs="Arial"/>
          <w:color w:val="2A2A2A"/>
          <w:lang w:eastAsia="en-ZA"/>
        </w:rPr>
        <w:instrText xml:space="preserve">" </w:instrText>
      </w:r>
      <w:r w:rsidRPr="00FA1C1A">
        <w:rPr>
          <w:rFonts w:eastAsia="Times New Roman" w:cs="Arial"/>
          <w:color w:val="2A2A2A"/>
          <w:lang w:eastAsia="en-ZA"/>
        </w:rPr>
        <w:fldChar w:fldCharType="separate"/>
      </w:r>
      <w:r w:rsidRPr="00FA1C1A">
        <w:rPr>
          <w:rStyle w:val="Hyperlink"/>
          <w:rFonts w:eastAsia="Times New Roman" w:cs="Arial"/>
          <w:lang w:eastAsia="en-ZA"/>
        </w:rPr>
        <w:t>https://www.cnbc.com/2019/04/10/americans-have-lost-500-billion-in-interest-after-financial-crisis.html</w:t>
      </w:r>
      <w:r w:rsidRPr="00FA1C1A">
        <w:rPr>
          <w:rFonts w:eastAsia="Times New Roman" w:cs="Arial"/>
          <w:color w:val="2A2A2A"/>
          <w:lang w:eastAsia="en-ZA"/>
        </w:rPr>
        <w:fldChar w:fldCharType="end"/>
      </w:r>
    </w:p>
    <w:p w14:paraId="5136F7F7" w14:textId="4F900133" w:rsidR="00FA1C1A" w:rsidRPr="00FA1C1A" w:rsidRDefault="00FA1C1A" w:rsidP="00FA1C1A">
      <w:pPr>
        <w:spacing w:before="120" w:after="120"/>
        <w:jc w:val="both"/>
        <w:rPr>
          <w:rFonts w:eastAsia="Times New Roman" w:cs="Arial"/>
          <w:color w:val="2A2A2A"/>
          <w:lang w:eastAsia="en-ZA"/>
        </w:rPr>
      </w:pPr>
      <w:r w:rsidRPr="00FA1C1A">
        <w:rPr>
          <w:rFonts w:eastAsia="Times New Roman" w:cs="Arial"/>
          <w:color w:val="2A2A2A"/>
          <w:lang w:eastAsia="en-ZA"/>
        </w:rPr>
        <w:br w:type="page"/>
      </w:r>
    </w:p>
    <w:p w14:paraId="77F02019" w14:textId="77777777" w:rsidR="00FA1C1A" w:rsidRPr="00FA1C1A" w:rsidRDefault="00FA1C1A" w:rsidP="00FA1C1A">
      <w:pPr>
        <w:spacing w:before="120" w:after="120"/>
        <w:jc w:val="both"/>
        <w:outlineLvl w:val="0"/>
        <w:rPr>
          <w:rFonts w:eastAsia="Times New Roman" w:cs="Arial"/>
          <w:b/>
          <w:bCs/>
          <w:kern w:val="36"/>
          <w:sz w:val="28"/>
          <w:szCs w:val="28"/>
          <w:lang w:eastAsia="en-ZA"/>
        </w:rPr>
      </w:pPr>
      <w:r w:rsidRPr="00FA1C1A">
        <w:rPr>
          <w:rFonts w:eastAsia="Times New Roman" w:cs="Arial"/>
          <w:b/>
          <w:bCs/>
          <w:kern w:val="36"/>
          <w:sz w:val="28"/>
          <w:szCs w:val="28"/>
          <w:lang w:eastAsia="en-ZA"/>
        </w:rPr>
        <w:lastRenderedPageBreak/>
        <w:t xml:space="preserve">The impact of avocations on underwriting </w:t>
      </w:r>
    </w:p>
    <w:p w14:paraId="520C5A7D" w14:textId="77777777" w:rsidR="00FA1C1A" w:rsidRPr="00FA1C1A" w:rsidRDefault="00FA1C1A" w:rsidP="00FA1C1A">
      <w:pPr>
        <w:spacing w:before="120" w:after="120"/>
        <w:jc w:val="both"/>
        <w:rPr>
          <w:rFonts w:eastAsia="Times New Roman" w:cs="Arial"/>
          <w:lang w:eastAsia="en-ZA"/>
        </w:rPr>
      </w:pPr>
      <w:r w:rsidRPr="00FA1C1A">
        <w:rPr>
          <w:rFonts w:eastAsia="Times New Roman" w:cs="Arial"/>
          <w:i/>
          <w:iCs/>
          <w:lang w:eastAsia="en-ZA"/>
        </w:rPr>
        <w:t>01 February 2010 Dalene Allen, Altrisk</w:t>
      </w:r>
      <w:r w:rsidRPr="00FA1C1A">
        <w:rPr>
          <w:rFonts w:eastAsia="Times New Roman" w:cs="Arial"/>
          <w:lang w:eastAsia="en-ZA"/>
        </w:rPr>
        <w:t xml:space="preserve"> </w:t>
      </w:r>
    </w:p>
    <w:p w14:paraId="3EF84D8B" w14:textId="77777777" w:rsidR="00FA1C1A" w:rsidRPr="00FA1C1A" w:rsidRDefault="00FA1C1A" w:rsidP="00FA1C1A">
      <w:pPr>
        <w:spacing w:before="120" w:after="120"/>
        <w:jc w:val="both"/>
        <w:rPr>
          <w:rFonts w:eastAsia="Times New Roman" w:cs="Arial"/>
          <w:lang w:eastAsia="en-ZA"/>
        </w:rPr>
      </w:pPr>
      <w:r w:rsidRPr="00FA1C1A">
        <w:rPr>
          <w:rFonts w:eastAsia="Times New Roman" w:cs="Arial"/>
          <w:i/>
          <w:iCs/>
          <w:lang w:eastAsia="en-ZA"/>
        </w:rPr>
        <w:t xml:space="preserve">Avocations are hobbies or pursuits which may pose a higher than normal risk in terms of life, disability and critical illness cover, and as such affect the underwriting assessment. </w:t>
      </w:r>
    </w:p>
    <w:p w14:paraId="56C3A90F" w14:textId="77777777" w:rsidR="00FA1C1A" w:rsidRPr="00FA1C1A" w:rsidRDefault="00FA1C1A" w:rsidP="00FA1C1A">
      <w:pPr>
        <w:spacing w:before="120" w:after="120"/>
        <w:jc w:val="both"/>
        <w:rPr>
          <w:rFonts w:eastAsia="Times New Roman" w:cs="Arial"/>
          <w:lang w:eastAsia="en-ZA"/>
        </w:rPr>
      </w:pPr>
      <w:r w:rsidRPr="00FA1C1A">
        <w:rPr>
          <w:rFonts w:eastAsia="Times New Roman" w:cs="Arial"/>
          <w:lang w:eastAsia="en-ZA"/>
        </w:rPr>
        <w:t xml:space="preserve">In underwriting an application for life insurance, avocations significantly affect the rate or premium. This is because a sky diver, for example, is at greater personal risk than a non-skydiver, and is accordingly charged a much higher premium for life cover. </w:t>
      </w:r>
    </w:p>
    <w:p w14:paraId="2B397CF1" w14:textId="77777777" w:rsidR="00FA1C1A" w:rsidRPr="00FA1C1A" w:rsidRDefault="00FA1C1A" w:rsidP="00FA1C1A">
      <w:pPr>
        <w:spacing w:before="120" w:after="120"/>
        <w:jc w:val="both"/>
        <w:rPr>
          <w:rFonts w:eastAsia="Times New Roman" w:cs="Arial"/>
          <w:lang w:eastAsia="en-ZA"/>
        </w:rPr>
      </w:pPr>
      <w:r w:rsidRPr="00FA1C1A">
        <w:rPr>
          <w:rFonts w:eastAsia="Times New Roman" w:cs="Arial"/>
          <w:lang w:eastAsia="en-ZA"/>
        </w:rPr>
        <w:t>Clients often comment that their particular avocation is safer than driving a car in South Africa. This, of course, may be true, but remember that driving a car is already included in the rates provided whereas avocations are not.</w:t>
      </w:r>
    </w:p>
    <w:p w14:paraId="577AF0E2" w14:textId="77777777" w:rsidR="00FA1C1A" w:rsidRPr="00FA1C1A" w:rsidRDefault="00FA1C1A" w:rsidP="00FA1C1A">
      <w:pPr>
        <w:spacing w:before="120" w:after="120"/>
        <w:jc w:val="both"/>
        <w:rPr>
          <w:rFonts w:eastAsia="Times New Roman" w:cs="Arial"/>
          <w:lang w:eastAsia="en-ZA"/>
        </w:rPr>
      </w:pPr>
      <w:r w:rsidRPr="00FA1C1A">
        <w:rPr>
          <w:rFonts w:eastAsia="Times New Roman" w:cs="Arial"/>
          <w:b/>
          <w:bCs/>
          <w:lang w:eastAsia="en-ZA"/>
        </w:rPr>
        <w:t>Exclusions</w:t>
      </w:r>
    </w:p>
    <w:p w14:paraId="2277E4F2" w14:textId="77777777" w:rsidR="00FA1C1A" w:rsidRPr="00FA1C1A" w:rsidRDefault="00FA1C1A" w:rsidP="00FA1C1A">
      <w:pPr>
        <w:spacing w:before="120" w:after="120"/>
        <w:jc w:val="both"/>
        <w:rPr>
          <w:rFonts w:eastAsia="Times New Roman" w:cs="Arial"/>
          <w:lang w:eastAsia="en-ZA"/>
        </w:rPr>
      </w:pPr>
      <w:r w:rsidRPr="00FA1C1A">
        <w:rPr>
          <w:rFonts w:eastAsia="Times New Roman" w:cs="Arial"/>
          <w:lang w:eastAsia="en-ZA"/>
        </w:rPr>
        <w:t xml:space="preserve">The client can opt for an exclusion, especially in instances where there is no regular participation and the client cannot justify the additional expense. </w:t>
      </w:r>
    </w:p>
    <w:p w14:paraId="6C96DF65" w14:textId="77777777" w:rsidR="00FA1C1A" w:rsidRPr="00FA1C1A" w:rsidRDefault="00FA1C1A" w:rsidP="00FA1C1A">
      <w:pPr>
        <w:spacing w:before="120" w:after="120"/>
        <w:jc w:val="both"/>
        <w:rPr>
          <w:rFonts w:eastAsia="Times New Roman" w:cs="Arial"/>
          <w:lang w:eastAsia="en-ZA"/>
        </w:rPr>
      </w:pPr>
      <w:r w:rsidRPr="00FA1C1A">
        <w:rPr>
          <w:rFonts w:eastAsia="Times New Roman" w:cs="Arial"/>
          <w:lang w:eastAsia="en-ZA"/>
        </w:rPr>
        <w:t xml:space="preserve">In addition, not all insurers automatically exclude avocations. Altrisk’s policy, for example, offers cover for once-off participation in an event. As such, a person who does a resort diving course while on holiday or a once-off bungee jump would be covered without the client having to be concerned as to whether or not he or she has cover. </w:t>
      </w:r>
    </w:p>
    <w:p w14:paraId="73050A78" w14:textId="77777777" w:rsidR="00FA1C1A" w:rsidRPr="00FA1C1A" w:rsidRDefault="00FA1C1A" w:rsidP="00FA1C1A">
      <w:pPr>
        <w:spacing w:before="120" w:after="120"/>
        <w:jc w:val="both"/>
        <w:rPr>
          <w:rFonts w:eastAsia="Times New Roman" w:cs="Arial"/>
          <w:lang w:eastAsia="en-ZA"/>
        </w:rPr>
      </w:pPr>
      <w:r w:rsidRPr="00FA1C1A">
        <w:rPr>
          <w:rFonts w:eastAsia="Times New Roman" w:cs="Arial"/>
          <w:b/>
          <w:bCs/>
          <w:lang w:eastAsia="en-ZA"/>
        </w:rPr>
        <w:t>Full disclosure</w:t>
      </w:r>
    </w:p>
    <w:p w14:paraId="236F8346" w14:textId="77777777" w:rsidR="00FA1C1A" w:rsidRPr="00FA1C1A" w:rsidRDefault="00FA1C1A" w:rsidP="00FA1C1A">
      <w:pPr>
        <w:spacing w:before="120" w:after="120"/>
        <w:jc w:val="both"/>
        <w:rPr>
          <w:rFonts w:eastAsia="Times New Roman" w:cs="Arial"/>
          <w:lang w:eastAsia="en-ZA"/>
        </w:rPr>
      </w:pPr>
      <w:r w:rsidRPr="00FA1C1A">
        <w:rPr>
          <w:rFonts w:eastAsia="Times New Roman" w:cs="Arial"/>
          <w:lang w:eastAsia="en-ZA"/>
        </w:rPr>
        <w:t>However, avocations which could be deemed dangerous should be declared at inception of the policy. If clients take up such an avocation after inception of the policy, they are obliged to let the insurer know.</w:t>
      </w:r>
    </w:p>
    <w:p w14:paraId="080BDAA4" w14:textId="77777777" w:rsidR="00FA1C1A" w:rsidRPr="00FA1C1A" w:rsidRDefault="00FA1C1A" w:rsidP="00FA1C1A">
      <w:pPr>
        <w:spacing w:before="120" w:after="120"/>
        <w:jc w:val="both"/>
        <w:rPr>
          <w:rFonts w:eastAsia="Times New Roman" w:cs="Arial"/>
          <w:lang w:eastAsia="en-ZA"/>
        </w:rPr>
      </w:pPr>
      <w:r w:rsidRPr="00FA1C1A">
        <w:rPr>
          <w:rFonts w:eastAsia="Times New Roman" w:cs="Arial"/>
          <w:lang w:eastAsia="en-ZA"/>
        </w:rPr>
        <w:t>As a general rule for avocations, provide the insurer with as many details as possible in order to ensure a fair assessment. Below are some examples of avocations and the type of information needed to determine the correct loading.</w:t>
      </w:r>
    </w:p>
    <w:p w14:paraId="49CF809F" w14:textId="77777777" w:rsidR="00FA1C1A" w:rsidRPr="00FA1C1A" w:rsidRDefault="00FA1C1A" w:rsidP="00FA1C1A">
      <w:pPr>
        <w:spacing w:before="120" w:after="120"/>
        <w:jc w:val="both"/>
        <w:rPr>
          <w:rFonts w:eastAsia="Times New Roman" w:cs="Arial"/>
          <w:lang w:eastAsia="en-ZA"/>
        </w:rPr>
      </w:pPr>
      <w:r w:rsidRPr="00FA1C1A">
        <w:rPr>
          <w:rFonts w:eastAsia="Times New Roman" w:cs="Arial"/>
          <w:b/>
          <w:bCs/>
          <w:lang w:eastAsia="en-ZA"/>
        </w:rPr>
        <w:t>Scuba diving</w:t>
      </w:r>
    </w:p>
    <w:p w14:paraId="388632B2" w14:textId="77777777" w:rsidR="00FA1C1A" w:rsidRPr="00FA1C1A" w:rsidRDefault="00FA1C1A" w:rsidP="00FA1C1A">
      <w:pPr>
        <w:spacing w:before="120" w:after="120"/>
        <w:jc w:val="both"/>
        <w:rPr>
          <w:rFonts w:eastAsia="Times New Roman" w:cs="Arial"/>
          <w:lang w:eastAsia="en-ZA"/>
        </w:rPr>
      </w:pPr>
      <w:r w:rsidRPr="00FA1C1A">
        <w:rPr>
          <w:rFonts w:eastAsia="Times New Roman" w:cs="Arial"/>
          <w:lang w:eastAsia="en-ZA"/>
        </w:rPr>
        <w:t>Normal recreational diving up to 40 metres would not be loaded provided it’s within the client’s qualifications. However, cave diving, potholing and the like can carry an additional loading or, if preferred, an exclusion.</w:t>
      </w:r>
    </w:p>
    <w:p w14:paraId="0F53B5D4" w14:textId="77777777" w:rsidR="00FA1C1A" w:rsidRPr="00FA1C1A" w:rsidRDefault="00FA1C1A" w:rsidP="00FA1C1A">
      <w:pPr>
        <w:spacing w:before="120" w:after="120"/>
        <w:jc w:val="both"/>
        <w:rPr>
          <w:rFonts w:eastAsia="Times New Roman" w:cs="Arial"/>
          <w:lang w:eastAsia="en-ZA"/>
        </w:rPr>
      </w:pPr>
      <w:r w:rsidRPr="00FA1C1A">
        <w:rPr>
          <w:rFonts w:eastAsia="Times New Roman" w:cs="Arial"/>
          <w:b/>
          <w:bCs/>
          <w:lang w:eastAsia="en-ZA"/>
        </w:rPr>
        <w:t>Mountaineering</w:t>
      </w:r>
    </w:p>
    <w:p w14:paraId="19732D5B" w14:textId="77777777" w:rsidR="00FA1C1A" w:rsidRPr="00FA1C1A" w:rsidRDefault="00FA1C1A" w:rsidP="00FA1C1A">
      <w:pPr>
        <w:spacing w:before="120" w:after="120"/>
        <w:jc w:val="both"/>
        <w:rPr>
          <w:rFonts w:eastAsia="Times New Roman" w:cs="Arial"/>
          <w:lang w:eastAsia="en-ZA"/>
        </w:rPr>
      </w:pPr>
      <w:r w:rsidRPr="00FA1C1A">
        <w:rPr>
          <w:rFonts w:eastAsia="Times New Roman" w:cs="Arial"/>
          <w:lang w:eastAsia="en-ZA"/>
        </w:rPr>
        <w:t>Factors to be considered for clients who are ardent mountain climbers include:</w:t>
      </w:r>
    </w:p>
    <w:p w14:paraId="2373F7E3" w14:textId="77777777" w:rsidR="00FA1C1A" w:rsidRPr="00FA1C1A" w:rsidRDefault="00FA1C1A" w:rsidP="00FA1C1A">
      <w:pPr>
        <w:pStyle w:val="ListParagraph"/>
        <w:numPr>
          <w:ilvl w:val="1"/>
          <w:numId w:val="22"/>
        </w:numPr>
        <w:spacing w:before="120" w:after="120"/>
        <w:ind w:left="397" w:right="57" w:hanging="284"/>
        <w:jc w:val="both"/>
        <w:rPr>
          <w:rFonts w:ascii="Arial" w:hAnsi="Arial" w:cs="Arial"/>
        </w:rPr>
      </w:pPr>
      <w:r w:rsidRPr="00FA1C1A">
        <w:rPr>
          <w:rFonts w:ascii="Arial" w:hAnsi="Arial" w:cs="Arial"/>
        </w:rPr>
        <w:t>when climbing alone the risk increases, either technically or in the event of an accident;</w:t>
      </w:r>
    </w:p>
    <w:p w14:paraId="39B65743" w14:textId="77777777" w:rsidR="00FA1C1A" w:rsidRPr="00FA1C1A" w:rsidRDefault="00FA1C1A" w:rsidP="00FA1C1A">
      <w:pPr>
        <w:pStyle w:val="ListParagraph"/>
        <w:numPr>
          <w:ilvl w:val="1"/>
          <w:numId w:val="22"/>
        </w:numPr>
        <w:spacing w:before="120" w:after="120"/>
        <w:ind w:left="397" w:right="57" w:hanging="284"/>
        <w:jc w:val="both"/>
        <w:rPr>
          <w:rFonts w:ascii="Arial" w:hAnsi="Arial" w:cs="Arial"/>
        </w:rPr>
      </w:pPr>
      <w:r w:rsidRPr="00FA1C1A">
        <w:rPr>
          <w:rFonts w:ascii="Arial" w:hAnsi="Arial" w:cs="Arial"/>
        </w:rPr>
        <w:t>climbing without ropes is dangerous for more obvious reasons;</w:t>
      </w:r>
    </w:p>
    <w:p w14:paraId="729FBD65" w14:textId="0F8D45AA" w:rsidR="00FA1C1A" w:rsidRPr="00FA1C1A" w:rsidRDefault="00FA1C1A" w:rsidP="00FA1C1A">
      <w:pPr>
        <w:pStyle w:val="ListParagraph"/>
        <w:numPr>
          <w:ilvl w:val="1"/>
          <w:numId w:val="22"/>
        </w:numPr>
        <w:spacing w:before="120" w:after="120"/>
        <w:ind w:left="397" w:right="57" w:hanging="284"/>
        <w:jc w:val="both"/>
        <w:rPr>
          <w:rFonts w:ascii="Arial" w:hAnsi="Arial" w:cs="Arial"/>
        </w:rPr>
      </w:pPr>
      <w:r w:rsidRPr="00FA1C1A">
        <w:rPr>
          <w:rFonts w:ascii="Arial" w:hAnsi="Arial" w:cs="Arial"/>
        </w:rPr>
        <w:t xml:space="preserve">height of mountains - 6000 metres above sea level is very different to climbing Table Mountain and brings an additional risk of altitude-related disorders such as pulmonary hypertension, hypoventilation and right heart failure. </w:t>
      </w:r>
    </w:p>
    <w:p w14:paraId="7531B483" w14:textId="77777777" w:rsidR="00FA1C1A" w:rsidRPr="00FA1C1A" w:rsidRDefault="00FA1C1A" w:rsidP="00FA1C1A">
      <w:pPr>
        <w:spacing w:before="120" w:after="120"/>
        <w:jc w:val="both"/>
        <w:rPr>
          <w:rFonts w:eastAsia="Times New Roman" w:cs="Arial"/>
          <w:lang w:eastAsia="en-ZA"/>
        </w:rPr>
      </w:pPr>
      <w:r w:rsidRPr="00FA1C1A">
        <w:rPr>
          <w:rFonts w:eastAsia="Times New Roman" w:cs="Arial"/>
          <w:lang w:eastAsia="en-ZA"/>
        </w:rPr>
        <w:t xml:space="preserve">As just one example of the risks mountaineering entails, one policyholder experienced total blindness when summiting Mount Everest. Fortunately this was reversed at a lower altitude, but obviously the danger of descent without eyesight was significant. </w:t>
      </w:r>
    </w:p>
    <w:p w14:paraId="0EE70A4B" w14:textId="3E9E87E2" w:rsidR="00FA1C1A" w:rsidRPr="00FA1C1A" w:rsidRDefault="00FA1C1A" w:rsidP="00FA1C1A">
      <w:pPr>
        <w:spacing w:before="120" w:after="120"/>
        <w:jc w:val="both"/>
        <w:rPr>
          <w:rFonts w:eastAsia="Times New Roman" w:cs="Arial"/>
          <w:lang w:eastAsia="en-ZA"/>
        </w:rPr>
      </w:pPr>
      <w:r w:rsidRPr="00FA1C1A">
        <w:rPr>
          <w:rFonts w:eastAsia="Times New Roman" w:cs="Arial"/>
          <w:b/>
          <w:bCs/>
          <w:lang w:eastAsia="en-ZA"/>
        </w:rPr>
        <w:t>Aviation</w:t>
      </w:r>
      <w:r w:rsidRPr="00FA1C1A">
        <w:rPr>
          <w:rFonts w:eastAsia="Times New Roman" w:cs="Arial"/>
          <w:b/>
          <w:bCs/>
          <w:lang w:eastAsia="en-ZA"/>
        </w:rPr>
        <w:br/>
      </w:r>
      <w:r w:rsidRPr="00FA1C1A">
        <w:rPr>
          <w:rFonts w:eastAsia="Times New Roman" w:cs="Arial"/>
          <w:lang w:eastAsia="en-ZA"/>
        </w:rPr>
        <w:t xml:space="preserve">To ensure a fair rate and appropriate cover, aviation rates should be individually calculated according to the client’s personal experience by an actuary who is also an experienced commercial pilot. Considerations to take into account should include the type of aviation licence, type of aircraft, how much experience the pilot has and the number of hours he or she is expected to be in the air over the next 12 months – even down to the type of airstrips and quality of airports used. </w:t>
      </w:r>
    </w:p>
    <w:p w14:paraId="508286BC" w14:textId="77777777" w:rsidR="00FA1C1A" w:rsidRPr="00FA1C1A" w:rsidRDefault="00FA1C1A" w:rsidP="00FA1C1A">
      <w:pPr>
        <w:spacing w:before="120" w:after="120"/>
        <w:jc w:val="both"/>
        <w:rPr>
          <w:rFonts w:eastAsia="Times New Roman" w:cs="Arial"/>
          <w:lang w:eastAsia="en-ZA"/>
        </w:rPr>
      </w:pPr>
      <w:r w:rsidRPr="00FA1C1A">
        <w:rPr>
          <w:rFonts w:eastAsia="Times New Roman" w:cs="Arial"/>
          <w:lang w:eastAsia="en-ZA"/>
        </w:rPr>
        <w:t xml:space="preserve">These are but a few examples of the avocations your clients might pursue. Ensure that your client has made full disclosure regarding the nature and frequency of these avocations, and </w:t>
      </w:r>
      <w:r w:rsidRPr="00FA1C1A">
        <w:rPr>
          <w:rFonts w:eastAsia="Times New Roman" w:cs="Arial"/>
          <w:lang w:eastAsia="en-ZA"/>
        </w:rPr>
        <w:lastRenderedPageBreak/>
        <w:t xml:space="preserve">that you obtain cover from an underwriter with the necessary expertise to rate the client fairly and on an individual basis. </w:t>
      </w:r>
    </w:p>
    <w:p w14:paraId="628AECF9" w14:textId="41503DB0" w:rsidR="00FA1C1A" w:rsidRDefault="00FA1C1A" w:rsidP="00E4567F">
      <w:pPr>
        <w:spacing w:before="120" w:after="120"/>
        <w:jc w:val="both"/>
        <w:rPr>
          <w:rFonts w:eastAsia="Times New Roman" w:cs="Arial"/>
          <w:color w:val="2A2A2A"/>
          <w:lang w:eastAsia="en-ZA"/>
        </w:rPr>
      </w:pPr>
      <w:hyperlink r:id="rId159" w:history="1">
        <w:r w:rsidRPr="005E7EB2">
          <w:rPr>
            <w:rStyle w:val="Hyperlink"/>
            <w:rFonts w:eastAsia="Times New Roman" w:cs="Arial"/>
            <w:lang w:eastAsia="en-ZA"/>
          </w:rPr>
          <w:t>https://www.fanews.co.za/article/magazine-archives-fanews-fanuus/60/features-profiles/1320/the-impact-of-avocations-on-underwriting/10132</w:t>
        </w:r>
      </w:hyperlink>
    </w:p>
    <w:p w14:paraId="5493C176" w14:textId="50C436AA" w:rsidR="00FA1C1A" w:rsidRDefault="00FA1C1A" w:rsidP="00E4567F">
      <w:pPr>
        <w:spacing w:before="120" w:after="120"/>
        <w:jc w:val="both"/>
        <w:rPr>
          <w:rFonts w:eastAsia="Times New Roman" w:cs="Arial"/>
          <w:color w:val="2A2A2A"/>
          <w:lang w:eastAsia="en-ZA"/>
        </w:rPr>
      </w:pPr>
    </w:p>
    <w:p w14:paraId="3E4E49E6" w14:textId="0D0A16B3" w:rsidR="00FA1C1A" w:rsidRPr="00FA1C1A" w:rsidRDefault="00FA1C1A" w:rsidP="00FA1C1A">
      <w:pPr>
        <w:spacing w:before="100" w:beforeAutospacing="1" w:after="100" w:afterAutospacing="1"/>
        <w:outlineLvl w:val="0"/>
        <w:rPr>
          <w:rFonts w:eastAsia="Times New Roman" w:cs="Arial"/>
          <w:b/>
          <w:bCs/>
          <w:kern w:val="36"/>
          <w:sz w:val="28"/>
          <w:szCs w:val="28"/>
          <w:lang w:eastAsia="en-ZA"/>
        </w:rPr>
      </w:pPr>
      <w:r w:rsidRPr="00FA1C1A">
        <w:rPr>
          <w:rFonts w:eastAsia="Times New Roman" w:cs="Arial"/>
          <w:b/>
          <w:bCs/>
          <w:kern w:val="36"/>
          <w:sz w:val="28"/>
          <w:szCs w:val="28"/>
          <w:lang w:eastAsia="en-ZA"/>
        </w:rPr>
        <w:t xml:space="preserve">South Africans </w:t>
      </w:r>
      <w:r>
        <w:rPr>
          <w:rFonts w:eastAsia="Times New Roman" w:cs="Arial"/>
          <w:b/>
          <w:bCs/>
          <w:kern w:val="36"/>
          <w:sz w:val="28"/>
          <w:szCs w:val="28"/>
          <w:lang w:eastAsia="en-ZA"/>
        </w:rPr>
        <w:t xml:space="preserve">are </w:t>
      </w:r>
      <w:r w:rsidRPr="00FA1C1A">
        <w:rPr>
          <w:rFonts w:eastAsia="Times New Roman" w:cs="Arial"/>
          <w:b/>
          <w:bCs/>
          <w:kern w:val="36"/>
          <w:sz w:val="28"/>
          <w:szCs w:val="28"/>
          <w:lang w:eastAsia="en-ZA"/>
        </w:rPr>
        <w:t xml:space="preserve">among the world’s worst savers </w:t>
      </w:r>
    </w:p>
    <w:p w14:paraId="5C75DD83" w14:textId="77777777" w:rsidR="00FA1C1A" w:rsidRPr="00FA1C1A" w:rsidRDefault="00FA1C1A" w:rsidP="00FA1C1A">
      <w:pPr>
        <w:rPr>
          <w:rFonts w:eastAsia="Times New Roman" w:cs="Arial"/>
          <w:lang w:eastAsia="en-ZA"/>
        </w:rPr>
      </w:pPr>
      <w:r w:rsidRPr="00FA1C1A">
        <w:rPr>
          <w:rFonts w:eastAsia="Times New Roman" w:cs="Arial"/>
          <w:noProof/>
          <w:color w:val="0000FF"/>
          <w:lang w:eastAsia="en-ZA"/>
        </w:rPr>
        <w:drawing>
          <wp:inline distT="0" distB="0" distL="0" distR="0" wp14:anchorId="0E4DB7E2" wp14:editId="5693FF3D">
            <wp:extent cx="1264920" cy="419100"/>
            <wp:effectExtent l="0" t="0" r="0" b="0"/>
            <wp:docPr id="34" name="Picture 1" descr="accreditation">
              <a:hlinkClick xmlns:a="http://schemas.openxmlformats.org/drawingml/2006/main" r:id="rId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ccreditation">
                      <a:hlinkClick r:id="rId8"/>
                    </pic:cNvPr>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64920" cy="419100"/>
                    </a:xfrm>
                    <a:prstGeom prst="rect">
                      <a:avLst/>
                    </a:prstGeom>
                    <a:noFill/>
                    <a:ln>
                      <a:noFill/>
                    </a:ln>
                  </pic:spPr>
                </pic:pic>
              </a:graphicData>
            </a:graphic>
          </wp:inline>
        </w:drawing>
      </w:r>
    </w:p>
    <w:p w14:paraId="30BFC614" w14:textId="77777777" w:rsidR="00FA1C1A" w:rsidRPr="00FA1C1A" w:rsidRDefault="00FA1C1A" w:rsidP="00FA1C1A">
      <w:pPr>
        <w:rPr>
          <w:rFonts w:eastAsia="Times New Roman" w:cs="Arial"/>
          <w:lang w:eastAsia="en-ZA"/>
        </w:rPr>
      </w:pPr>
      <w:r w:rsidRPr="00FA1C1A">
        <w:rPr>
          <w:rFonts w:eastAsia="Times New Roman" w:cs="Arial"/>
          <w:lang w:eastAsia="en-ZA"/>
        </w:rPr>
        <w:t xml:space="preserve">Susan Erasmus </w:t>
      </w:r>
    </w:p>
    <w:p w14:paraId="44AEBF83" w14:textId="77777777" w:rsidR="00FA1C1A" w:rsidRDefault="00FA1C1A" w:rsidP="00FA1C1A">
      <w:pPr>
        <w:rPr>
          <w:rFonts w:eastAsia="Times New Roman" w:cs="Arial"/>
          <w:lang w:eastAsia="en-ZA"/>
        </w:rPr>
      </w:pPr>
      <w:r w:rsidRPr="00FA1C1A">
        <w:rPr>
          <w:rFonts w:eastAsia="Times New Roman" w:cs="Arial"/>
          <w:lang w:eastAsia="en-ZA"/>
        </w:rPr>
        <w:t xml:space="preserve">Share </w:t>
      </w:r>
    </w:p>
    <w:p w14:paraId="7CB356DB" w14:textId="150D9235" w:rsidR="00FA1C1A" w:rsidRPr="00FA1C1A" w:rsidRDefault="00FA1C1A" w:rsidP="00FA1C1A">
      <w:pPr>
        <w:spacing w:before="120" w:after="120"/>
        <w:jc w:val="both"/>
        <w:rPr>
          <w:rFonts w:eastAsia="Times New Roman" w:cs="Arial"/>
          <w:lang w:eastAsia="en-ZA"/>
        </w:rPr>
      </w:pPr>
      <w:r w:rsidRPr="00FA1C1A">
        <w:rPr>
          <w:rFonts w:eastAsia="Times New Roman" w:cs="Arial"/>
          <w:noProof/>
          <w:lang w:eastAsia="en-ZA"/>
        </w:rPr>
        <w:drawing>
          <wp:anchor distT="0" distB="0" distL="114300" distR="114300" simplePos="0" relativeHeight="251661312" behindDoc="0" locked="0" layoutInCell="1" allowOverlap="1" wp14:anchorId="7110B0BC" wp14:editId="64C762BF">
            <wp:simplePos x="0" y="0"/>
            <wp:positionH relativeFrom="margin">
              <wp:align>right</wp:align>
            </wp:positionH>
            <wp:positionV relativeFrom="paragraph">
              <wp:posOffset>517525</wp:posOffset>
            </wp:positionV>
            <wp:extent cx="2857500" cy="3329940"/>
            <wp:effectExtent l="0" t="0" r="0" b="3810"/>
            <wp:wrapSquare wrapText="bothSides"/>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2857500" cy="332994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717FA43" w14:textId="77777777" w:rsidR="00FA1C1A" w:rsidRPr="00FA1C1A" w:rsidRDefault="00FA1C1A" w:rsidP="00FA1C1A">
      <w:pPr>
        <w:spacing w:before="120" w:after="120"/>
        <w:jc w:val="both"/>
        <w:rPr>
          <w:rFonts w:eastAsia="Times New Roman" w:cs="Arial"/>
          <w:lang w:eastAsia="en-ZA"/>
        </w:rPr>
      </w:pPr>
      <w:r w:rsidRPr="00FA1C1A">
        <w:rPr>
          <w:rFonts w:eastAsia="Times New Roman" w:cs="Arial"/>
          <w:lang w:eastAsia="en-ZA"/>
        </w:rPr>
        <w:t>Cape Town - At 15.4% of its GDP, South Africa has one of the worst savings rates in the world. And it’s getting worse, according to statistics released by the Reserve Bank.</w:t>
      </w:r>
    </w:p>
    <w:p w14:paraId="3DE882A1" w14:textId="77777777" w:rsidR="00FA1C1A" w:rsidRPr="00FA1C1A" w:rsidRDefault="00FA1C1A" w:rsidP="00FA1C1A">
      <w:pPr>
        <w:spacing w:before="120" w:after="120"/>
        <w:jc w:val="both"/>
        <w:rPr>
          <w:rFonts w:eastAsia="Times New Roman" w:cs="Arial"/>
          <w:lang w:eastAsia="en-ZA"/>
        </w:rPr>
      </w:pPr>
      <w:r w:rsidRPr="00FA1C1A">
        <w:rPr>
          <w:rFonts w:eastAsia="Times New Roman" w:cs="Arial"/>
          <w:lang w:eastAsia="en-ZA"/>
        </w:rPr>
        <w:t>And it’s not just that our salaries are low and our cost of living is high – the Chinese earn less than we do, and they manage to save over 50% of their GDP, according to the Financial Services Board (FSB). India manages to save about 30%, Brazil around 25%, and Australia about 22.5%.</w:t>
      </w:r>
    </w:p>
    <w:p w14:paraId="1BE82D5D" w14:textId="77777777" w:rsidR="00FA1C1A" w:rsidRPr="00FA1C1A" w:rsidRDefault="00FA1C1A" w:rsidP="00FA1C1A">
      <w:pPr>
        <w:spacing w:before="120" w:after="120"/>
        <w:jc w:val="both"/>
        <w:rPr>
          <w:rFonts w:eastAsia="Times New Roman" w:cs="Arial"/>
          <w:lang w:eastAsia="en-ZA"/>
        </w:rPr>
      </w:pPr>
      <w:r w:rsidRPr="00FA1C1A">
        <w:rPr>
          <w:rFonts w:eastAsia="Times New Roman" w:cs="Arial"/>
          <w:lang w:eastAsia="en-ZA"/>
        </w:rPr>
        <w:t>The highest this figure has been in South Africa in the last 13 years is 17.2%, which was recorded in 2002. The lowest was 14.7%, which was recorded in 2009, shortly after the worldwide recession on 2008.</w:t>
      </w:r>
    </w:p>
    <w:p w14:paraId="3520F837" w14:textId="77777777" w:rsidR="00FA1C1A" w:rsidRPr="00FA1C1A" w:rsidRDefault="00FA1C1A" w:rsidP="00FA1C1A">
      <w:pPr>
        <w:spacing w:before="120" w:after="120"/>
        <w:jc w:val="both"/>
        <w:rPr>
          <w:rFonts w:eastAsia="Times New Roman" w:cs="Arial"/>
          <w:lang w:eastAsia="en-ZA"/>
        </w:rPr>
      </w:pPr>
      <w:r w:rsidRPr="00FA1C1A">
        <w:rPr>
          <w:rFonts w:eastAsia="Times New Roman" w:cs="Arial"/>
          <w:lang w:eastAsia="en-ZA"/>
        </w:rPr>
        <w:t>These savings include pension contributions, and all forms of investment. In short, says the FSB, to save means spending less than you earn, and it encourages people to adjust their lifestyle so that they can contribute a part of their income to a savings scheme.</w:t>
      </w:r>
    </w:p>
    <w:p w14:paraId="4CDF2EFF" w14:textId="77777777" w:rsidR="00FA1C1A" w:rsidRPr="00FA1C1A" w:rsidRDefault="00FA1C1A" w:rsidP="00FA1C1A">
      <w:pPr>
        <w:spacing w:before="120" w:after="120"/>
        <w:jc w:val="both"/>
        <w:rPr>
          <w:rFonts w:eastAsia="Times New Roman" w:cs="Arial"/>
          <w:lang w:eastAsia="en-ZA"/>
        </w:rPr>
      </w:pPr>
      <w:r w:rsidRPr="00FA1C1A">
        <w:rPr>
          <w:rFonts w:eastAsia="Times New Roman" w:cs="Arial"/>
          <w:lang w:eastAsia="en-ZA"/>
        </w:rPr>
        <w:t>But, according to SA government statistics, South Africans are now borrowing more money than they are saving. Household debt as a percentage of household income now stands at approximately 80% (this includes loans, overdrafts, credit card debt, home loans, accounts). In the United States, the household debt-income ratio stands at 138%.</w:t>
      </w:r>
    </w:p>
    <w:p w14:paraId="291ABE63" w14:textId="77777777" w:rsidR="00FA1C1A" w:rsidRPr="00FA1C1A" w:rsidRDefault="00FA1C1A" w:rsidP="00FA1C1A">
      <w:pPr>
        <w:spacing w:before="120" w:after="120"/>
        <w:jc w:val="both"/>
        <w:rPr>
          <w:rFonts w:eastAsia="Times New Roman" w:cs="Arial"/>
          <w:lang w:eastAsia="en-ZA"/>
        </w:rPr>
      </w:pPr>
      <w:r w:rsidRPr="00FA1C1A">
        <w:rPr>
          <w:rFonts w:eastAsia="Times New Roman" w:cs="Arial"/>
          <w:lang w:eastAsia="en-ZA"/>
        </w:rPr>
        <w:t>Only a quarter of those between the ages of 18 and 30 are saving for retirement, according to the Old Mutual Savings and Investment Monitor. Only 31% are saving for possible emergencies, while 35% are saving for a car and 26% to pay off debt. But the rising cost of living is also affecting this sector of the population, as 68% of them have said they had to reduce their expenditure in 2014, up from 55% the previous year.</w:t>
      </w:r>
    </w:p>
    <w:p w14:paraId="020695F7" w14:textId="77777777" w:rsidR="00FA1C1A" w:rsidRPr="00FA1C1A" w:rsidRDefault="00FA1C1A" w:rsidP="00FA1C1A">
      <w:pPr>
        <w:spacing w:before="120" w:after="120"/>
        <w:jc w:val="both"/>
        <w:rPr>
          <w:rFonts w:eastAsia="Times New Roman" w:cs="Arial"/>
          <w:lang w:eastAsia="en-ZA"/>
        </w:rPr>
      </w:pPr>
      <w:r w:rsidRPr="00FA1C1A">
        <w:rPr>
          <w:rFonts w:eastAsia="Times New Roman" w:cs="Arial"/>
          <w:lang w:eastAsia="en-ZA"/>
        </w:rPr>
        <w:t>The South African Savings Institute gives a number of reasons for the low savings rate in SA:</w:t>
      </w:r>
    </w:p>
    <w:p w14:paraId="5EAB307D" w14:textId="77777777" w:rsidR="00FA1C1A" w:rsidRPr="00FA1C1A" w:rsidRDefault="00FA1C1A" w:rsidP="00FA1C1A">
      <w:pPr>
        <w:pStyle w:val="ListParagraph"/>
        <w:numPr>
          <w:ilvl w:val="0"/>
          <w:numId w:val="22"/>
        </w:numPr>
        <w:spacing w:before="120" w:after="120"/>
        <w:ind w:left="397" w:hanging="284"/>
        <w:jc w:val="both"/>
        <w:rPr>
          <w:rFonts w:ascii="Arial" w:hAnsi="Arial" w:cs="Arial"/>
        </w:rPr>
      </w:pPr>
      <w:r w:rsidRPr="00FA1C1A">
        <w:rPr>
          <w:rFonts w:ascii="Arial" w:hAnsi="Arial" w:cs="Arial"/>
        </w:rPr>
        <w:t>low disposable income growth;</w:t>
      </w:r>
    </w:p>
    <w:p w14:paraId="2D653809" w14:textId="77777777" w:rsidR="00FA1C1A" w:rsidRPr="00FA1C1A" w:rsidRDefault="00FA1C1A" w:rsidP="00FA1C1A">
      <w:pPr>
        <w:pStyle w:val="ListParagraph"/>
        <w:numPr>
          <w:ilvl w:val="0"/>
          <w:numId w:val="22"/>
        </w:numPr>
        <w:spacing w:before="120" w:after="120"/>
        <w:ind w:left="397" w:hanging="284"/>
        <w:jc w:val="both"/>
        <w:rPr>
          <w:rFonts w:ascii="Arial" w:hAnsi="Arial" w:cs="Arial"/>
        </w:rPr>
      </w:pPr>
      <w:r w:rsidRPr="00FA1C1A">
        <w:rPr>
          <w:rFonts w:ascii="Arial" w:hAnsi="Arial" w:cs="Arial"/>
        </w:rPr>
        <w:t>low employment growth;</w:t>
      </w:r>
    </w:p>
    <w:p w14:paraId="64304D43" w14:textId="77777777" w:rsidR="00FA1C1A" w:rsidRPr="00FA1C1A" w:rsidRDefault="00FA1C1A" w:rsidP="00FA1C1A">
      <w:pPr>
        <w:pStyle w:val="ListParagraph"/>
        <w:numPr>
          <w:ilvl w:val="0"/>
          <w:numId w:val="22"/>
        </w:numPr>
        <w:spacing w:before="120" w:after="120"/>
        <w:ind w:left="397" w:hanging="284"/>
        <w:jc w:val="both"/>
        <w:rPr>
          <w:rFonts w:ascii="Arial" w:hAnsi="Arial" w:cs="Arial"/>
        </w:rPr>
      </w:pPr>
      <w:r w:rsidRPr="00FA1C1A">
        <w:rPr>
          <w:rFonts w:ascii="Arial" w:hAnsi="Arial" w:cs="Arial"/>
        </w:rPr>
        <w:t>a rising tax burden;</w:t>
      </w:r>
    </w:p>
    <w:p w14:paraId="13FB6CE7" w14:textId="77777777" w:rsidR="00FA1C1A" w:rsidRPr="00FA1C1A" w:rsidRDefault="00FA1C1A" w:rsidP="00FA1C1A">
      <w:pPr>
        <w:pStyle w:val="ListParagraph"/>
        <w:numPr>
          <w:ilvl w:val="0"/>
          <w:numId w:val="22"/>
        </w:numPr>
        <w:spacing w:before="120" w:after="120"/>
        <w:ind w:left="397" w:hanging="284"/>
        <w:jc w:val="both"/>
        <w:rPr>
          <w:rFonts w:ascii="Arial" w:hAnsi="Arial" w:cs="Arial"/>
        </w:rPr>
      </w:pPr>
      <w:r w:rsidRPr="00FA1C1A">
        <w:rPr>
          <w:rFonts w:ascii="Arial" w:hAnsi="Arial" w:cs="Arial"/>
        </w:rPr>
        <w:t>an inflationary environment;</w:t>
      </w:r>
      <w:r w:rsidRPr="00FA1C1A">
        <w:rPr>
          <w:rFonts w:ascii="Arial" w:hAnsi="Arial" w:cs="Arial"/>
        </w:rPr>
        <w:t xml:space="preserve"> </w:t>
      </w:r>
      <w:r w:rsidRPr="00FA1C1A">
        <w:rPr>
          <w:rFonts w:ascii="Arial" w:hAnsi="Arial" w:cs="Arial"/>
        </w:rPr>
        <w:t>and</w:t>
      </w:r>
    </w:p>
    <w:p w14:paraId="51B3C878" w14:textId="243AADC0" w:rsidR="00FA1C1A" w:rsidRPr="00FA1C1A" w:rsidRDefault="00FA1C1A" w:rsidP="00FA1C1A">
      <w:pPr>
        <w:pStyle w:val="ListParagraph"/>
        <w:numPr>
          <w:ilvl w:val="0"/>
          <w:numId w:val="22"/>
        </w:numPr>
        <w:spacing w:before="120" w:after="120"/>
        <w:ind w:left="397" w:hanging="284"/>
        <w:jc w:val="both"/>
        <w:rPr>
          <w:rFonts w:ascii="Arial" w:hAnsi="Arial" w:cs="Arial"/>
        </w:rPr>
      </w:pPr>
      <w:r w:rsidRPr="00FA1C1A">
        <w:rPr>
          <w:rFonts w:ascii="Arial" w:hAnsi="Arial" w:cs="Arial"/>
        </w:rPr>
        <w:t>lack of confidence in the future.</w:t>
      </w:r>
    </w:p>
    <w:p w14:paraId="791E9615" w14:textId="77777777" w:rsidR="00FA1C1A" w:rsidRPr="00FA1C1A" w:rsidRDefault="00FA1C1A" w:rsidP="00FA1C1A">
      <w:pPr>
        <w:spacing w:before="120" w:after="120"/>
        <w:jc w:val="both"/>
        <w:rPr>
          <w:rFonts w:eastAsia="Times New Roman" w:cs="Arial"/>
          <w:lang w:eastAsia="en-ZA"/>
        </w:rPr>
      </w:pPr>
      <w:r w:rsidRPr="00FA1C1A">
        <w:rPr>
          <w:rFonts w:eastAsia="Times New Roman" w:cs="Arial"/>
          <w:lang w:eastAsia="en-ZA"/>
        </w:rPr>
        <w:lastRenderedPageBreak/>
        <w:t>The Old Mutual Savings and Investment Monitor published in July 2014 provided some interesting statistics on South African households and their savings and spending habits:</w:t>
      </w:r>
    </w:p>
    <w:p w14:paraId="48F1BA81" w14:textId="77777777" w:rsidR="00FA1C1A" w:rsidRPr="00FA1C1A" w:rsidRDefault="00FA1C1A" w:rsidP="00FA1C1A">
      <w:pPr>
        <w:pStyle w:val="ListParagraph"/>
        <w:numPr>
          <w:ilvl w:val="0"/>
          <w:numId w:val="25"/>
        </w:numPr>
        <w:spacing w:before="120" w:after="120"/>
        <w:ind w:left="397" w:hanging="284"/>
        <w:jc w:val="both"/>
        <w:rPr>
          <w:rFonts w:ascii="Arial" w:hAnsi="Arial" w:cs="Arial"/>
        </w:rPr>
      </w:pPr>
      <w:r w:rsidRPr="00FA1C1A">
        <w:rPr>
          <w:rFonts w:ascii="Arial" w:hAnsi="Arial" w:cs="Arial"/>
        </w:rPr>
        <w:t>65% of income is spent on consumables and living expenses;</w:t>
      </w:r>
    </w:p>
    <w:p w14:paraId="7E4ED0F9" w14:textId="77777777" w:rsidR="00FA1C1A" w:rsidRPr="00FA1C1A" w:rsidRDefault="00FA1C1A" w:rsidP="00FA1C1A">
      <w:pPr>
        <w:pStyle w:val="ListParagraph"/>
        <w:numPr>
          <w:ilvl w:val="0"/>
          <w:numId w:val="25"/>
        </w:numPr>
        <w:spacing w:before="120" w:after="120"/>
        <w:ind w:left="397" w:hanging="284"/>
        <w:jc w:val="both"/>
        <w:rPr>
          <w:rFonts w:ascii="Arial" w:hAnsi="Arial" w:cs="Arial"/>
        </w:rPr>
      </w:pPr>
      <w:r w:rsidRPr="00FA1C1A">
        <w:rPr>
          <w:rFonts w:ascii="Arial" w:hAnsi="Arial" w:cs="Arial"/>
        </w:rPr>
        <w:t>38% of those interviewed said they were saving less than in 2013;</w:t>
      </w:r>
    </w:p>
    <w:p w14:paraId="748EA609" w14:textId="77777777" w:rsidR="00FA1C1A" w:rsidRPr="00FA1C1A" w:rsidRDefault="00FA1C1A" w:rsidP="00FA1C1A">
      <w:pPr>
        <w:pStyle w:val="ListParagraph"/>
        <w:numPr>
          <w:ilvl w:val="0"/>
          <w:numId w:val="25"/>
        </w:numPr>
        <w:spacing w:before="120" w:after="120"/>
        <w:ind w:left="397" w:hanging="284"/>
        <w:jc w:val="both"/>
        <w:rPr>
          <w:rFonts w:ascii="Arial" w:hAnsi="Arial" w:cs="Arial"/>
        </w:rPr>
      </w:pPr>
      <w:r w:rsidRPr="00FA1C1A">
        <w:rPr>
          <w:rFonts w:ascii="Arial" w:hAnsi="Arial" w:cs="Arial"/>
        </w:rPr>
        <w:t>50% believe that death, funeral and disability cover are more important than retirement savings;</w:t>
      </w:r>
    </w:p>
    <w:p w14:paraId="67012D2D" w14:textId="77777777" w:rsidR="00FA1C1A" w:rsidRPr="00FA1C1A" w:rsidRDefault="00FA1C1A" w:rsidP="00FA1C1A">
      <w:pPr>
        <w:pStyle w:val="ListParagraph"/>
        <w:numPr>
          <w:ilvl w:val="0"/>
          <w:numId w:val="25"/>
        </w:numPr>
        <w:spacing w:before="120" w:after="120"/>
        <w:ind w:left="397" w:hanging="284"/>
        <w:jc w:val="both"/>
        <w:rPr>
          <w:rFonts w:ascii="Arial" w:hAnsi="Arial" w:cs="Arial"/>
        </w:rPr>
      </w:pPr>
      <w:r w:rsidRPr="00FA1C1A">
        <w:rPr>
          <w:rFonts w:ascii="Arial" w:hAnsi="Arial" w:cs="Arial"/>
        </w:rPr>
        <w:t>18% of households in the R40 000+ income category have unit trusts, mutual funds or exchange-related funds;</w:t>
      </w:r>
    </w:p>
    <w:p w14:paraId="1BBB79BC" w14:textId="77777777" w:rsidR="00FA1C1A" w:rsidRPr="00FA1C1A" w:rsidRDefault="00FA1C1A" w:rsidP="00FA1C1A">
      <w:pPr>
        <w:pStyle w:val="ListParagraph"/>
        <w:numPr>
          <w:ilvl w:val="0"/>
          <w:numId w:val="25"/>
        </w:numPr>
        <w:spacing w:before="120" w:after="120"/>
        <w:ind w:left="397" w:hanging="284"/>
        <w:jc w:val="both"/>
        <w:rPr>
          <w:rFonts w:ascii="Arial" w:hAnsi="Arial" w:cs="Arial"/>
        </w:rPr>
      </w:pPr>
      <w:r w:rsidRPr="00FA1C1A">
        <w:rPr>
          <w:rFonts w:ascii="Arial" w:hAnsi="Arial" w:cs="Arial"/>
        </w:rPr>
        <w:t>32% of parents are saving for their children’s education; and</w:t>
      </w:r>
    </w:p>
    <w:p w14:paraId="2570A974" w14:textId="2ECA235D" w:rsidR="00FA1C1A" w:rsidRPr="00FA1C1A" w:rsidRDefault="00FA1C1A" w:rsidP="00FA1C1A">
      <w:pPr>
        <w:pStyle w:val="ListParagraph"/>
        <w:numPr>
          <w:ilvl w:val="0"/>
          <w:numId w:val="25"/>
        </w:numPr>
        <w:spacing w:before="120" w:after="120"/>
        <w:ind w:left="397" w:hanging="284"/>
        <w:jc w:val="both"/>
        <w:rPr>
          <w:rFonts w:ascii="Arial" w:hAnsi="Arial" w:cs="Arial"/>
        </w:rPr>
      </w:pPr>
      <w:r w:rsidRPr="00FA1C1A">
        <w:rPr>
          <w:rFonts w:ascii="Arial" w:hAnsi="Arial" w:cs="Arial"/>
        </w:rPr>
        <w:t>45% of black households contribute to at least one stokvel per month.</w:t>
      </w:r>
    </w:p>
    <w:p w14:paraId="6E218A80" w14:textId="77777777" w:rsidR="00FA1C1A" w:rsidRPr="00FA1C1A" w:rsidRDefault="00FA1C1A" w:rsidP="00FA1C1A">
      <w:pPr>
        <w:spacing w:before="120" w:after="120"/>
        <w:jc w:val="both"/>
        <w:rPr>
          <w:rFonts w:eastAsia="Times New Roman" w:cs="Arial"/>
          <w:lang w:eastAsia="en-ZA"/>
        </w:rPr>
      </w:pPr>
      <w:r w:rsidRPr="00FA1C1A">
        <w:rPr>
          <w:rFonts w:eastAsia="Times New Roman" w:cs="Arial"/>
          <w:lang w:eastAsia="en-ZA"/>
        </w:rPr>
        <w:t>The attitude to retirement savings mentioned above also explains why only 6% of SA retirees are financially independent at retirement. The rest are dependent on their families, friends, or the government, according to the FSB.</w:t>
      </w:r>
    </w:p>
    <w:p w14:paraId="17CB35A8" w14:textId="77777777" w:rsidR="00FA1C1A" w:rsidRPr="00FA1C1A" w:rsidRDefault="00FA1C1A" w:rsidP="00FA1C1A">
      <w:pPr>
        <w:spacing w:before="120" w:after="120"/>
        <w:jc w:val="both"/>
        <w:rPr>
          <w:rFonts w:eastAsia="Times New Roman" w:cs="Arial"/>
          <w:lang w:eastAsia="en-ZA"/>
        </w:rPr>
      </w:pPr>
      <w:r w:rsidRPr="00FA1C1A">
        <w:rPr>
          <w:rFonts w:eastAsia="Times New Roman" w:cs="Arial"/>
          <w:lang w:eastAsia="en-ZA"/>
        </w:rPr>
        <w:t xml:space="preserve">The savings rate is determined by looking at household savings, savings in the public sector and savings in the corporate sector. According to stats from the Reserve Bank, both the public and private sector were actually ‘dis-savers’ (borrowing more than they were saving) and the corporate sector was the only net contributor to gross savings. But that, at 4.2% was also not as high as it could be, according to the South African Savings Institute. </w:t>
      </w:r>
    </w:p>
    <w:p w14:paraId="69D629E6" w14:textId="77777777" w:rsidR="00FA1C1A" w:rsidRPr="00FA1C1A" w:rsidRDefault="00FA1C1A" w:rsidP="00FA1C1A">
      <w:pPr>
        <w:spacing w:before="120" w:after="120"/>
        <w:jc w:val="both"/>
        <w:rPr>
          <w:rFonts w:eastAsia="Times New Roman" w:cs="Arial"/>
          <w:lang w:eastAsia="en-ZA"/>
        </w:rPr>
      </w:pPr>
      <w:r w:rsidRPr="00FA1C1A">
        <w:rPr>
          <w:rFonts w:eastAsia="Times New Roman" w:cs="Arial"/>
          <w:lang w:eastAsia="en-ZA"/>
        </w:rPr>
        <w:t>The reasons they give for this low rate in the corporate sector include the following:</w:t>
      </w:r>
    </w:p>
    <w:p w14:paraId="3812A628" w14:textId="77777777" w:rsidR="00FA1C1A" w:rsidRPr="00FA1C1A" w:rsidRDefault="00FA1C1A" w:rsidP="00FA1C1A">
      <w:pPr>
        <w:pStyle w:val="ListParagraph"/>
        <w:numPr>
          <w:ilvl w:val="0"/>
          <w:numId w:val="26"/>
        </w:numPr>
        <w:spacing w:before="120" w:after="120"/>
        <w:ind w:left="397" w:hanging="284"/>
        <w:jc w:val="both"/>
        <w:rPr>
          <w:rFonts w:ascii="Arial" w:hAnsi="Arial" w:cs="Arial"/>
        </w:rPr>
      </w:pPr>
      <w:r w:rsidRPr="00FA1C1A">
        <w:rPr>
          <w:rFonts w:ascii="Arial" w:hAnsi="Arial" w:cs="Arial"/>
        </w:rPr>
        <w:t>a lack of profitable investment opportunities;</w:t>
      </w:r>
    </w:p>
    <w:p w14:paraId="5557BB8D" w14:textId="77777777" w:rsidR="00FA1C1A" w:rsidRPr="00FA1C1A" w:rsidRDefault="00FA1C1A" w:rsidP="00FA1C1A">
      <w:pPr>
        <w:pStyle w:val="ListParagraph"/>
        <w:numPr>
          <w:ilvl w:val="0"/>
          <w:numId w:val="26"/>
        </w:numPr>
        <w:spacing w:before="120" w:after="120"/>
        <w:ind w:left="397" w:hanging="284"/>
        <w:jc w:val="both"/>
        <w:rPr>
          <w:rFonts w:ascii="Arial" w:hAnsi="Arial" w:cs="Arial"/>
        </w:rPr>
      </w:pPr>
      <w:r w:rsidRPr="00FA1C1A">
        <w:rPr>
          <w:rFonts w:ascii="Arial" w:hAnsi="Arial" w:cs="Arial"/>
        </w:rPr>
        <w:t>high cost of capital;</w:t>
      </w:r>
    </w:p>
    <w:p w14:paraId="4BD82DDD" w14:textId="77777777" w:rsidR="00FA1C1A" w:rsidRPr="00FA1C1A" w:rsidRDefault="00FA1C1A" w:rsidP="00FA1C1A">
      <w:pPr>
        <w:pStyle w:val="ListParagraph"/>
        <w:numPr>
          <w:ilvl w:val="0"/>
          <w:numId w:val="26"/>
        </w:numPr>
        <w:spacing w:before="120" w:after="120"/>
        <w:ind w:left="397" w:hanging="284"/>
        <w:jc w:val="both"/>
        <w:rPr>
          <w:rFonts w:ascii="Arial" w:hAnsi="Arial" w:cs="Arial"/>
        </w:rPr>
      </w:pPr>
      <w:r w:rsidRPr="00FA1C1A">
        <w:rPr>
          <w:rFonts w:ascii="Arial" w:hAnsi="Arial" w:cs="Arial"/>
        </w:rPr>
        <w:t>labour market inflexibility;</w:t>
      </w:r>
    </w:p>
    <w:p w14:paraId="58123B6A" w14:textId="3F646235" w:rsidR="00FA1C1A" w:rsidRPr="00FA1C1A" w:rsidRDefault="00FA1C1A" w:rsidP="00FA1C1A">
      <w:pPr>
        <w:pStyle w:val="ListParagraph"/>
        <w:numPr>
          <w:ilvl w:val="0"/>
          <w:numId w:val="26"/>
        </w:numPr>
        <w:spacing w:before="120" w:after="120"/>
        <w:ind w:left="397" w:hanging="284"/>
        <w:jc w:val="both"/>
        <w:rPr>
          <w:rFonts w:ascii="Arial" w:hAnsi="Arial" w:cs="Arial"/>
        </w:rPr>
      </w:pPr>
      <w:r w:rsidRPr="00FA1C1A">
        <w:rPr>
          <w:rFonts w:ascii="Arial" w:hAnsi="Arial" w:cs="Arial"/>
        </w:rPr>
        <w:t>high corporate taxes; and short-term behaviour.</w:t>
      </w:r>
    </w:p>
    <w:p w14:paraId="4E7E29B3" w14:textId="77777777" w:rsidR="00FA1C1A" w:rsidRPr="00FA1C1A" w:rsidRDefault="00FA1C1A" w:rsidP="00FA1C1A">
      <w:pPr>
        <w:spacing w:before="120" w:after="120"/>
        <w:jc w:val="both"/>
        <w:rPr>
          <w:rFonts w:eastAsia="Times New Roman" w:cs="Arial"/>
          <w:lang w:eastAsia="en-ZA"/>
        </w:rPr>
      </w:pPr>
      <w:r w:rsidRPr="00FA1C1A">
        <w:rPr>
          <w:rFonts w:eastAsia="Times New Roman" w:cs="Arial"/>
          <w:lang w:eastAsia="en-ZA"/>
        </w:rPr>
        <w:t>So if and when South Africans do save, what are their priorities? The following statistics from Old Mutual paints an interesting picture, especially as retirement savings and saving for funeral expenses come in at the same rate:</w:t>
      </w:r>
    </w:p>
    <w:p w14:paraId="2064402B" w14:textId="77777777" w:rsidR="00FA1C1A" w:rsidRPr="00FA1C1A" w:rsidRDefault="00FA1C1A" w:rsidP="00FA1C1A">
      <w:pPr>
        <w:pStyle w:val="ListParagraph"/>
        <w:numPr>
          <w:ilvl w:val="0"/>
          <w:numId w:val="27"/>
        </w:numPr>
        <w:spacing w:before="120" w:after="120"/>
        <w:ind w:left="397" w:hanging="284"/>
        <w:jc w:val="both"/>
        <w:rPr>
          <w:rFonts w:ascii="Arial" w:hAnsi="Arial" w:cs="Arial"/>
        </w:rPr>
      </w:pPr>
      <w:r w:rsidRPr="00FA1C1A">
        <w:rPr>
          <w:rFonts w:ascii="Arial" w:hAnsi="Arial" w:cs="Arial"/>
        </w:rPr>
        <w:t>43% save for a rainy day;</w:t>
      </w:r>
    </w:p>
    <w:p w14:paraId="5978E7A7" w14:textId="77777777" w:rsidR="00FA1C1A" w:rsidRPr="00FA1C1A" w:rsidRDefault="00FA1C1A" w:rsidP="00FA1C1A">
      <w:pPr>
        <w:pStyle w:val="ListParagraph"/>
        <w:numPr>
          <w:ilvl w:val="0"/>
          <w:numId w:val="27"/>
        </w:numPr>
        <w:spacing w:before="120" w:after="120"/>
        <w:ind w:left="397" w:hanging="284"/>
        <w:jc w:val="both"/>
        <w:rPr>
          <w:rFonts w:ascii="Arial" w:hAnsi="Arial" w:cs="Arial"/>
        </w:rPr>
      </w:pPr>
      <w:r w:rsidRPr="00FA1C1A">
        <w:rPr>
          <w:rFonts w:ascii="Arial" w:hAnsi="Arial" w:cs="Arial"/>
        </w:rPr>
        <w:t>37% save for retirement;</w:t>
      </w:r>
    </w:p>
    <w:p w14:paraId="35C116C8" w14:textId="0119E528" w:rsidR="00FA1C1A" w:rsidRPr="00FA1C1A" w:rsidRDefault="00FA1C1A" w:rsidP="00FA1C1A">
      <w:pPr>
        <w:pStyle w:val="ListParagraph"/>
        <w:numPr>
          <w:ilvl w:val="0"/>
          <w:numId w:val="27"/>
        </w:numPr>
        <w:spacing w:before="120" w:after="120"/>
        <w:ind w:left="397" w:hanging="284"/>
        <w:jc w:val="both"/>
        <w:rPr>
          <w:rFonts w:ascii="Arial" w:hAnsi="Arial" w:cs="Arial"/>
        </w:rPr>
      </w:pPr>
      <w:r w:rsidRPr="00FA1C1A">
        <w:rPr>
          <w:rFonts w:ascii="Arial" w:hAnsi="Arial" w:cs="Arial"/>
        </w:rPr>
        <w:t>37% save for funeral expenses;</w:t>
      </w:r>
    </w:p>
    <w:p w14:paraId="07BC736D" w14:textId="77777777" w:rsidR="00FA1C1A" w:rsidRPr="00FA1C1A" w:rsidRDefault="00FA1C1A" w:rsidP="00FA1C1A">
      <w:pPr>
        <w:pStyle w:val="ListParagraph"/>
        <w:numPr>
          <w:ilvl w:val="0"/>
          <w:numId w:val="27"/>
        </w:numPr>
        <w:spacing w:before="120" w:after="120"/>
        <w:ind w:left="397" w:hanging="284"/>
        <w:jc w:val="both"/>
        <w:rPr>
          <w:rFonts w:ascii="Arial" w:hAnsi="Arial" w:cs="Arial"/>
        </w:rPr>
      </w:pPr>
      <w:r w:rsidRPr="00FA1C1A">
        <w:rPr>
          <w:rFonts w:ascii="Arial" w:hAnsi="Arial" w:cs="Arial"/>
        </w:rPr>
        <w:t>22% save for children’s education;</w:t>
      </w:r>
    </w:p>
    <w:p w14:paraId="6D847E44" w14:textId="77777777" w:rsidR="00FA1C1A" w:rsidRPr="00FA1C1A" w:rsidRDefault="00FA1C1A" w:rsidP="00FA1C1A">
      <w:pPr>
        <w:pStyle w:val="ListParagraph"/>
        <w:numPr>
          <w:ilvl w:val="0"/>
          <w:numId w:val="27"/>
        </w:numPr>
        <w:spacing w:before="120" w:after="120"/>
        <w:ind w:left="397" w:hanging="284"/>
        <w:jc w:val="both"/>
        <w:rPr>
          <w:rFonts w:ascii="Arial" w:hAnsi="Arial" w:cs="Arial"/>
        </w:rPr>
      </w:pPr>
      <w:r w:rsidRPr="00FA1C1A">
        <w:rPr>
          <w:rFonts w:ascii="Arial" w:hAnsi="Arial" w:cs="Arial"/>
        </w:rPr>
        <w:t>18% save to pay off debt;</w:t>
      </w:r>
    </w:p>
    <w:p w14:paraId="5C8A7E5D" w14:textId="58D48F26" w:rsidR="00FA1C1A" w:rsidRPr="00FA1C1A" w:rsidRDefault="00FA1C1A" w:rsidP="00FA1C1A">
      <w:pPr>
        <w:pStyle w:val="ListParagraph"/>
        <w:numPr>
          <w:ilvl w:val="0"/>
          <w:numId w:val="27"/>
        </w:numPr>
        <w:spacing w:before="120" w:after="120"/>
        <w:ind w:left="397" w:hanging="284"/>
        <w:jc w:val="both"/>
        <w:rPr>
          <w:rFonts w:ascii="Arial" w:hAnsi="Arial" w:cs="Arial"/>
        </w:rPr>
      </w:pPr>
      <w:r w:rsidRPr="00FA1C1A">
        <w:rPr>
          <w:rFonts w:ascii="Arial" w:hAnsi="Arial" w:cs="Arial"/>
        </w:rPr>
        <w:t>16% save for home improvements; and</w:t>
      </w:r>
    </w:p>
    <w:p w14:paraId="591289D9" w14:textId="47BA98F3" w:rsidR="00FA1C1A" w:rsidRPr="00FA1C1A" w:rsidRDefault="00FA1C1A" w:rsidP="00FA1C1A">
      <w:pPr>
        <w:pStyle w:val="ListParagraph"/>
        <w:numPr>
          <w:ilvl w:val="0"/>
          <w:numId w:val="27"/>
        </w:numPr>
        <w:spacing w:before="120" w:after="120"/>
        <w:ind w:left="397" w:hanging="284"/>
        <w:jc w:val="both"/>
        <w:rPr>
          <w:rFonts w:ascii="Arial" w:hAnsi="Arial" w:cs="Arial"/>
        </w:rPr>
      </w:pPr>
      <w:r w:rsidRPr="00FA1C1A">
        <w:rPr>
          <w:rFonts w:ascii="Arial" w:hAnsi="Arial" w:cs="Arial"/>
        </w:rPr>
        <w:t>13% save for a vehicle.</w:t>
      </w:r>
    </w:p>
    <w:p w14:paraId="373F3129" w14:textId="497B5E3B" w:rsidR="00FA1C1A" w:rsidRDefault="00FA1C1A" w:rsidP="00FA1C1A">
      <w:pPr>
        <w:spacing w:before="120" w:after="120"/>
        <w:jc w:val="both"/>
        <w:rPr>
          <w:rFonts w:eastAsia="Times New Roman" w:cs="Arial"/>
          <w:lang w:eastAsia="en-ZA"/>
        </w:rPr>
      </w:pPr>
      <w:r w:rsidRPr="00FA1C1A">
        <w:rPr>
          <w:rFonts w:eastAsia="Times New Roman" w:cs="Arial"/>
          <w:lang w:eastAsia="en-ZA"/>
        </w:rPr>
        <w:t>In an effort to encourage South Africans to save more, National Treasury has introduced the Tax Free Savings Account from 1 March 2015.</w:t>
      </w:r>
    </w:p>
    <w:p w14:paraId="1CDAE55D" w14:textId="77777777" w:rsidR="00FA1C1A" w:rsidRPr="00FA1C1A" w:rsidRDefault="00FA1C1A" w:rsidP="00FA1C1A">
      <w:pPr>
        <w:spacing w:before="120" w:after="120"/>
        <w:jc w:val="both"/>
        <w:rPr>
          <w:rFonts w:eastAsia="Times New Roman" w:cs="Arial"/>
          <w:lang w:eastAsia="en-ZA"/>
        </w:rPr>
      </w:pPr>
    </w:p>
    <w:p w14:paraId="12720502" w14:textId="686175D2" w:rsidR="00FA1C1A" w:rsidRDefault="00FA1C1A" w:rsidP="00FA1C1A">
      <w:pPr>
        <w:spacing w:before="120" w:after="120"/>
        <w:jc w:val="both"/>
        <w:rPr>
          <w:rFonts w:eastAsia="Times New Roman" w:cs="Arial"/>
          <w:color w:val="2A2A2A"/>
          <w:lang w:eastAsia="en-ZA"/>
        </w:rPr>
      </w:pPr>
      <w:hyperlink r:id="rId161" w:history="1">
        <w:r w:rsidRPr="005E7EB2">
          <w:rPr>
            <w:rStyle w:val="Hyperlink"/>
            <w:rFonts w:eastAsia="Times New Roman" w:cs="Arial"/>
            <w:lang w:eastAsia="en-ZA"/>
          </w:rPr>
          <w:t>https://www</w:t>
        </w:r>
      </w:hyperlink>
      <w:r w:rsidRPr="00FA1C1A">
        <w:rPr>
          <w:rFonts w:eastAsia="Times New Roman" w:cs="Arial"/>
          <w:color w:val="2A2A2A"/>
          <w:lang w:eastAsia="en-ZA"/>
        </w:rPr>
        <w:t>.news24.com/fin24/Savings/News/South-Africans-among-the-worlds-worst-savers-20150707#commentsSection</w:t>
      </w:r>
    </w:p>
    <w:p w14:paraId="08231D2A" w14:textId="419C4665" w:rsidR="00FA1C1A" w:rsidRDefault="00FA1C1A">
      <w:pPr>
        <w:rPr>
          <w:rFonts w:eastAsia="Times New Roman" w:cs="Arial"/>
          <w:color w:val="2A2A2A"/>
          <w:lang w:eastAsia="en-ZA"/>
        </w:rPr>
      </w:pPr>
      <w:r>
        <w:rPr>
          <w:rFonts w:eastAsia="Times New Roman" w:cs="Arial"/>
          <w:color w:val="2A2A2A"/>
          <w:lang w:eastAsia="en-ZA"/>
        </w:rPr>
        <w:br w:type="page"/>
      </w:r>
    </w:p>
    <w:p w14:paraId="52E7F854" w14:textId="77777777" w:rsidR="00FA1C1A" w:rsidRPr="00FA1C1A" w:rsidRDefault="00FA1C1A" w:rsidP="00FA1C1A">
      <w:pPr>
        <w:spacing w:before="120" w:after="120"/>
        <w:outlineLvl w:val="0"/>
        <w:rPr>
          <w:rFonts w:eastAsia="Times New Roman" w:cs="Arial"/>
          <w:b/>
          <w:bCs/>
          <w:kern w:val="36"/>
          <w:lang w:eastAsia="en-ZA"/>
        </w:rPr>
      </w:pPr>
      <w:r w:rsidRPr="00FA1C1A">
        <w:rPr>
          <w:rFonts w:eastAsia="Times New Roman" w:cs="Arial"/>
          <w:b/>
          <w:bCs/>
          <w:kern w:val="36"/>
          <w:lang w:eastAsia="en-ZA"/>
        </w:rPr>
        <w:lastRenderedPageBreak/>
        <w:t>Continuous Professional Development – Are your hours adding up?</w:t>
      </w:r>
    </w:p>
    <w:p w14:paraId="282E99E4" w14:textId="77777777" w:rsidR="00FA1C1A" w:rsidRPr="00FA1C1A" w:rsidRDefault="00FA1C1A" w:rsidP="00FA1C1A">
      <w:pPr>
        <w:spacing w:before="120" w:after="120"/>
        <w:rPr>
          <w:rFonts w:eastAsia="Times New Roman" w:cs="Arial"/>
          <w:lang w:eastAsia="en-ZA"/>
        </w:rPr>
      </w:pPr>
      <w:r w:rsidRPr="00FA1C1A">
        <w:rPr>
          <w:rFonts w:eastAsia="Times New Roman" w:cs="Arial"/>
          <w:lang w:eastAsia="en-ZA"/>
        </w:rPr>
        <w:t xml:space="preserve">By </w:t>
      </w:r>
      <w:hyperlink r:id="rId162" w:tooltip="Posts by Janine Geldenhuys" w:history="1">
        <w:r w:rsidRPr="00FA1C1A">
          <w:rPr>
            <w:rFonts w:eastAsia="Times New Roman" w:cs="Arial"/>
            <w:color w:val="0000FF"/>
            <w:u w:val="single"/>
            <w:lang w:eastAsia="en-ZA"/>
          </w:rPr>
          <w:t>Janine Geldenhuys</w:t>
        </w:r>
      </w:hyperlink>
      <w:r w:rsidRPr="00FA1C1A">
        <w:rPr>
          <w:rFonts w:eastAsia="Times New Roman" w:cs="Arial"/>
          <w:lang w:eastAsia="en-ZA"/>
        </w:rPr>
        <w:t xml:space="preserve"> on 11 February 2019 </w:t>
      </w:r>
      <w:r w:rsidRPr="00FA1C1A">
        <w:rPr>
          <w:rFonts w:eastAsia="Times New Roman" w:cs="Arial"/>
          <w:lang w:eastAsia="en-ZA"/>
        </w:rPr>
        <w:br/>
        <w:t xml:space="preserve">Posted in </w:t>
      </w:r>
      <w:hyperlink r:id="rId163" w:tooltip="View all items in Compliance and Legislation" w:history="1">
        <w:r w:rsidRPr="00FA1C1A">
          <w:rPr>
            <w:rFonts w:eastAsia="Times New Roman" w:cs="Arial"/>
            <w:color w:val="0000FF"/>
            <w:u w:val="single"/>
            <w:lang w:eastAsia="en-ZA"/>
          </w:rPr>
          <w:t>Compliance and Legislation</w:t>
        </w:r>
      </w:hyperlink>
      <w:r w:rsidRPr="00FA1C1A">
        <w:rPr>
          <w:rFonts w:eastAsia="Times New Roman" w:cs="Arial"/>
          <w:lang w:eastAsia="en-ZA"/>
        </w:rPr>
        <w:t xml:space="preserve"> </w:t>
      </w:r>
    </w:p>
    <w:p w14:paraId="1ED27E78" w14:textId="77777777" w:rsidR="00FA1C1A" w:rsidRPr="00FA1C1A" w:rsidRDefault="00FA1C1A" w:rsidP="00FA1C1A">
      <w:pPr>
        <w:spacing w:before="120" w:after="120"/>
        <w:rPr>
          <w:rFonts w:eastAsia="Times New Roman" w:cs="Arial"/>
          <w:lang w:eastAsia="en-ZA"/>
        </w:rPr>
      </w:pPr>
      <w:r w:rsidRPr="00FA1C1A">
        <w:rPr>
          <w:rFonts w:eastAsia="Times New Roman" w:cs="Arial"/>
          <w:i/>
          <w:iCs/>
          <w:lang w:eastAsia="en-ZA"/>
        </w:rPr>
        <w:t>“I am authorised for Long-term Insurance sub-category B1, B2 and C as well as a Participative Interest in Collective Investment Schemes. What are the minimum CPD hours I have to obtain?”</w:t>
      </w:r>
    </w:p>
    <w:p w14:paraId="0C4A95BE" w14:textId="77777777" w:rsidR="00FA1C1A" w:rsidRPr="00FA1C1A" w:rsidRDefault="00FA1C1A" w:rsidP="00FA1C1A">
      <w:pPr>
        <w:spacing w:before="120" w:after="120"/>
        <w:rPr>
          <w:rFonts w:eastAsia="Times New Roman" w:cs="Arial"/>
          <w:lang w:eastAsia="en-ZA"/>
        </w:rPr>
      </w:pPr>
      <w:r w:rsidRPr="00FA1C1A">
        <w:rPr>
          <w:rFonts w:eastAsia="Times New Roman" w:cs="Arial"/>
          <w:lang w:eastAsia="en-ZA"/>
        </w:rPr>
        <w:t>This question, recently received from an experienced campaigner, led to this article being revamped to assist you with complying in time.</w:t>
      </w:r>
    </w:p>
    <w:p w14:paraId="245F4CD4" w14:textId="77777777" w:rsidR="00FA1C1A" w:rsidRPr="00FA1C1A" w:rsidRDefault="00FA1C1A" w:rsidP="00FA1C1A">
      <w:pPr>
        <w:spacing w:before="120" w:after="120"/>
        <w:rPr>
          <w:rFonts w:eastAsia="Times New Roman" w:cs="Arial"/>
          <w:lang w:eastAsia="en-ZA"/>
        </w:rPr>
      </w:pPr>
      <w:r w:rsidRPr="00FA1C1A">
        <w:rPr>
          <w:rFonts w:eastAsia="Times New Roman" w:cs="Arial"/>
          <w:lang w:eastAsia="en-ZA"/>
        </w:rPr>
        <w:t>With the annual deadline for acquiring Continuous Professional Development (CPD) hours looming, most FSPs, key individuals and representatives should be doing a few calculations to check if they will be on par on 31 May 2019. Yes, the annual CPD cycle ends on 31 May 2019, just over three months away.</w:t>
      </w:r>
    </w:p>
    <w:p w14:paraId="77131A55" w14:textId="77777777" w:rsidR="00FA1C1A" w:rsidRPr="00FA1C1A" w:rsidRDefault="00FA1C1A" w:rsidP="00FA1C1A">
      <w:pPr>
        <w:spacing w:before="120" w:after="120"/>
        <w:rPr>
          <w:rFonts w:eastAsia="Times New Roman" w:cs="Arial"/>
          <w:lang w:eastAsia="en-ZA"/>
        </w:rPr>
      </w:pPr>
      <w:r w:rsidRPr="00FA1C1A">
        <w:rPr>
          <w:rFonts w:eastAsia="Times New Roman" w:cs="Arial"/>
          <w:lang w:eastAsia="en-ZA"/>
        </w:rPr>
        <w:t>But what is the purpose and benefits of CPD again? Who needs to obtain CPD hours?</w:t>
      </w:r>
    </w:p>
    <w:p w14:paraId="32E62D5C" w14:textId="77777777" w:rsidR="00FA1C1A" w:rsidRPr="00FA1C1A" w:rsidRDefault="00FA1C1A" w:rsidP="00FA1C1A">
      <w:pPr>
        <w:spacing w:before="120" w:after="120"/>
        <w:rPr>
          <w:rFonts w:eastAsia="Times New Roman" w:cs="Arial"/>
          <w:lang w:eastAsia="en-ZA"/>
        </w:rPr>
      </w:pPr>
      <w:r w:rsidRPr="00FA1C1A">
        <w:rPr>
          <w:rFonts w:eastAsia="Times New Roman" w:cs="Arial"/>
          <w:lang w:eastAsia="en-ZA"/>
        </w:rPr>
        <w:t>Let’s look at the basic questions and answers again:</w:t>
      </w:r>
    </w:p>
    <w:p w14:paraId="4366ED46" w14:textId="77777777" w:rsidR="00FA1C1A" w:rsidRPr="00FA1C1A" w:rsidRDefault="00FA1C1A" w:rsidP="00FA1C1A">
      <w:pPr>
        <w:spacing w:before="120" w:after="120"/>
        <w:rPr>
          <w:rFonts w:eastAsia="Times New Roman" w:cs="Arial"/>
          <w:lang w:eastAsia="en-ZA"/>
        </w:rPr>
      </w:pPr>
      <w:r w:rsidRPr="00FA1C1A">
        <w:rPr>
          <w:rFonts w:eastAsia="Times New Roman" w:cs="Arial"/>
          <w:lang w:eastAsia="en-ZA"/>
        </w:rPr>
        <w:t>In line with its focus on outcomes based regulation, the FSCA introduced lifetime learning as way to enhance the image of financial advisers as professionals.</w:t>
      </w:r>
    </w:p>
    <w:p w14:paraId="5EA981E0" w14:textId="77777777" w:rsidR="00FA1C1A" w:rsidRPr="00FA1C1A" w:rsidRDefault="00FA1C1A" w:rsidP="00FA1C1A">
      <w:pPr>
        <w:spacing w:before="120" w:after="120"/>
        <w:rPr>
          <w:rFonts w:eastAsia="Times New Roman" w:cs="Arial"/>
          <w:lang w:eastAsia="en-ZA"/>
        </w:rPr>
      </w:pPr>
      <w:r w:rsidRPr="00FA1C1A">
        <w:rPr>
          <w:rFonts w:eastAsia="Times New Roman" w:cs="Arial"/>
          <w:b/>
          <w:bCs/>
          <w:lang w:eastAsia="en-ZA"/>
        </w:rPr>
        <w:t>What is CPD?</w:t>
      </w:r>
    </w:p>
    <w:p w14:paraId="27E85A59" w14:textId="77777777" w:rsidR="00FA1C1A" w:rsidRPr="00FA1C1A" w:rsidRDefault="00FA1C1A" w:rsidP="00FA1C1A">
      <w:pPr>
        <w:spacing w:before="120" w:after="120"/>
        <w:rPr>
          <w:rFonts w:eastAsia="Times New Roman" w:cs="Arial"/>
          <w:lang w:eastAsia="en-ZA"/>
        </w:rPr>
      </w:pPr>
      <w:r w:rsidRPr="00FA1C1A">
        <w:rPr>
          <w:rFonts w:eastAsia="Times New Roman" w:cs="Arial"/>
          <w:lang w:eastAsia="en-ZA"/>
        </w:rPr>
        <w:t>Continuous Professional Development (CPD) is a lifelong learning process, where financial services professionals systematically engage in activities that maintain abilities, skills and knowledge required for their specific areas of expertise.</w:t>
      </w:r>
    </w:p>
    <w:p w14:paraId="17DED85C" w14:textId="77777777" w:rsidR="00FA1C1A" w:rsidRPr="00FA1C1A" w:rsidRDefault="00FA1C1A" w:rsidP="00FA1C1A">
      <w:pPr>
        <w:spacing w:before="120" w:after="120"/>
        <w:rPr>
          <w:rFonts w:eastAsia="Times New Roman" w:cs="Arial"/>
          <w:lang w:eastAsia="en-ZA"/>
        </w:rPr>
      </w:pPr>
      <w:r w:rsidRPr="00FA1C1A">
        <w:rPr>
          <w:rFonts w:eastAsia="Times New Roman" w:cs="Arial"/>
          <w:lang w:eastAsia="en-ZA"/>
        </w:rPr>
        <w:t>In terms of Board Notice 194 of 2017, regulatory (FSCA) CPD activities should be relevant to the functions and roles you perform, and should:</w:t>
      </w:r>
    </w:p>
    <w:p w14:paraId="5B1EF499" w14:textId="77777777" w:rsidR="00FA1C1A" w:rsidRPr="00FA1C1A" w:rsidRDefault="00FA1C1A" w:rsidP="00FA1C1A">
      <w:pPr>
        <w:numPr>
          <w:ilvl w:val="0"/>
          <w:numId w:val="28"/>
        </w:numPr>
        <w:tabs>
          <w:tab w:val="clear" w:pos="720"/>
        </w:tabs>
        <w:spacing w:before="120" w:after="120"/>
        <w:ind w:left="397" w:hanging="284"/>
        <w:rPr>
          <w:rFonts w:eastAsia="Times New Roman" w:cs="Arial"/>
          <w:lang w:eastAsia="en-ZA"/>
        </w:rPr>
      </w:pPr>
      <w:r w:rsidRPr="00FA1C1A">
        <w:rPr>
          <w:rFonts w:eastAsia="Times New Roman" w:cs="Arial"/>
          <w:lang w:eastAsia="en-ZA"/>
        </w:rPr>
        <w:t>contribute to your skill, knowledge, expertise and professional and ethical standards required</w:t>
      </w:r>
    </w:p>
    <w:p w14:paraId="4D9A6DBE" w14:textId="77777777" w:rsidR="00FA1C1A" w:rsidRPr="00FA1C1A" w:rsidRDefault="00FA1C1A" w:rsidP="00FA1C1A">
      <w:pPr>
        <w:numPr>
          <w:ilvl w:val="0"/>
          <w:numId w:val="28"/>
        </w:numPr>
        <w:tabs>
          <w:tab w:val="clear" w:pos="720"/>
        </w:tabs>
        <w:spacing w:before="120" w:after="120"/>
        <w:ind w:left="397" w:hanging="284"/>
        <w:rPr>
          <w:rFonts w:eastAsia="Times New Roman" w:cs="Arial"/>
          <w:lang w:eastAsia="en-ZA"/>
        </w:rPr>
      </w:pPr>
      <w:r w:rsidRPr="00FA1C1A">
        <w:rPr>
          <w:rFonts w:eastAsia="Times New Roman" w:cs="Arial"/>
          <w:lang w:eastAsia="en-ZA"/>
        </w:rPr>
        <w:t>address any identified needs or gaps in your technical, generic and legal knowledge and</w:t>
      </w:r>
    </w:p>
    <w:p w14:paraId="3870FBE6" w14:textId="77777777" w:rsidR="00FA1C1A" w:rsidRPr="00FA1C1A" w:rsidRDefault="00FA1C1A" w:rsidP="00FA1C1A">
      <w:pPr>
        <w:numPr>
          <w:ilvl w:val="0"/>
          <w:numId w:val="28"/>
        </w:numPr>
        <w:tabs>
          <w:tab w:val="clear" w:pos="720"/>
        </w:tabs>
        <w:spacing w:before="120" w:after="120"/>
        <w:ind w:left="397" w:hanging="284"/>
        <w:rPr>
          <w:rFonts w:eastAsia="Times New Roman" w:cs="Arial"/>
          <w:lang w:eastAsia="en-ZA"/>
        </w:rPr>
      </w:pPr>
      <w:r w:rsidRPr="00FA1C1A">
        <w:rPr>
          <w:rFonts w:eastAsia="Times New Roman" w:cs="Arial"/>
          <w:lang w:eastAsia="en-ZA"/>
        </w:rPr>
        <w:t>adequately take into account changing conditions relevant to the financial products for which you are authorized.</w:t>
      </w:r>
    </w:p>
    <w:p w14:paraId="617C7348" w14:textId="77777777" w:rsidR="00FA1C1A" w:rsidRPr="00FA1C1A" w:rsidRDefault="00FA1C1A" w:rsidP="00FA1C1A">
      <w:pPr>
        <w:spacing w:before="120" w:after="120"/>
        <w:rPr>
          <w:rFonts w:eastAsia="Times New Roman" w:cs="Arial"/>
          <w:lang w:eastAsia="en-ZA"/>
        </w:rPr>
      </w:pPr>
      <w:r w:rsidRPr="00FA1C1A">
        <w:rPr>
          <w:rFonts w:eastAsia="Times New Roman" w:cs="Arial"/>
          <w:b/>
          <w:bCs/>
          <w:lang w:eastAsia="en-ZA"/>
        </w:rPr>
        <w:t>What is a ‘CPD activity’?</w:t>
      </w:r>
    </w:p>
    <w:p w14:paraId="7E5F6AFE" w14:textId="77777777" w:rsidR="00FA1C1A" w:rsidRPr="00FA1C1A" w:rsidRDefault="00FA1C1A" w:rsidP="00FA1C1A">
      <w:pPr>
        <w:spacing w:before="120" w:after="120"/>
        <w:rPr>
          <w:rFonts w:eastAsia="Times New Roman" w:cs="Arial"/>
          <w:lang w:eastAsia="en-ZA"/>
        </w:rPr>
      </w:pPr>
      <w:r w:rsidRPr="00FA1C1A">
        <w:rPr>
          <w:rFonts w:eastAsia="Times New Roman" w:cs="Arial"/>
          <w:lang w:eastAsia="en-ZA"/>
        </w:rPr>
        <w:t xml:space="preserve">A “CPD activity” is a </w:t>
      </w:r>
      <w:r w:rsidRPr="00FA1C1A">
        <w:rPr>
          <w:rFonts w:eastAsia="Times New Roman" w:cs="Arial"/>
          <w:u w:val="single"/>
          <w:lang w:eastAsia="en-ZA"/>
        </w:rPr>
        <w:t>verifiable</w:t>
      </w:r>
      <w:r w:rsidRPr="00FA1C1A">
        <w:rPr>
          <w:rFonts w:eastAsia="Times New Roman" w:cs="Arial"/>
          <w:lang w:eastAsia="en-ZA"/>
        </w:rPr>
        <w:t xml:space="preserve"> activity that is </w:t>
      </w:r>
      <w:r w:rsidRPr="00FA1C1A">
        <w:rPr>
          <w:rFonts w:eastAsia="Times New Roman" w:cs="Arial"/>
          <w:u w:val="single"/>
          <w:lang w:eastAsia="en-ZA"/>
        </w:rPr>
        <w:t>accredited</w:t>
      </w:r>
      <w:r w:rsidRPr="00FA1C1A">
        <w:rPr>
          <w:rFonts w:eastAsia="Times New Roman" w:cs="Arial"/>
          <w:lang w:eastAsia="en-ZA"/>
        </w:rPr>
        <w:t xml:space="preserve"> by a professional body who also allocates an hourly </w:t>
      </w:r>
      <w:r w:rsidRPr="00FA1C1A">
        <w:rPr>
          <w:rFonts w:eastAsia="Times New Roman" w:cs="Arial"/>
          <w:u w:val="single"/>
          <w:lang w:eastAsia="en-ZA"/>
        </w:rPr>
        <w:t>value</w:t>
      </w:r>
      <w:r w:rsidRPr="00FA1C1A">
        <w:rPr>
          <w:rFonts w:eastAsia="Times New Roman" w:cs="Arial"/>
          <w:lang w:eastAsia="en-ZA"/>
        </w:rPr>
        <w:t xml:space="preserve"> or a part thereof to the activity. Activities performed towards a qualification and “product specific training” does not qualify for CPD points, but “class of business” training does, in most instances.</w:t>
      </w:r>
    </w:p>
    <w:p w14:paraId="2D988A4F" w14:textId="77777777" w:rsidR="00FA1C1A" w:rsidRPr="00FA1C1A" w:rsidRDefault="00FA1C1A" w:rsidP="00FA1C1A">
      <w:pPr>
        <w:spacing w:before="120" w:after="120"/>
        <w:rPr>
          <w:rFonts w:eastAsia="Times New Roman" w:cs="Arial"/>
          <w:lang w:eastAsia="en-ZA"/>
        </w:rPr>
      </w:pPr>
      <w:r w:rsidRPr="00FA1C1A">
        <w:rPr>
          <w:rFonts w:eastAsia="Times New Roman" w:cs="Arial"/>
          <w:b/>
          <w:bCs/>
          <w:lang w:eastAsia="en-ZA"/>
        </w:rPr>
        <w:t>By when must I do this?</w:t>
      </w:r>
    </w:p>
    <w:p w14:paraId="4FFED23D" w14:textId="77777777" w:rsidR="00FA1C1A" w:rsidRPr="00FA1C1A" w:rsidRDefault="00FA1C1A" w:rsidP="00FA1C1A">
      <w:pPr>
        <w:spacing w:before="120" w:after="120"/>
        <w:rPr>
          <w:rFonts w:eastAsia="Times New Roman" w:cs="Arial"/>
          <w:lang w:eastAsia="en-ZA"/>
        </w:rPr>
      </w:pPr>
      <w:r w:rsidRPr="00FA1C1A">
        <w:rPr>
          <w:rFonts w:eastAsia="Times New Roman" w:cs="Arial"/>
          <w:lang w:eastAsia="en-ZA"/>
        </w:rPr>
        <w:t>In terms of the new Fit &amp; Proper requirements advisors are obliged to perform CPD activities during a specified CPD cycle, which is a period of 12 months commencing on 1 June of every year and ending 31 May of the following year. The first cycle started on 1 June 2018, which means that you only have a few months left to comply with this requirement. Provision is also made for proportionate CPD requirements for those who become liable during this cycle.</w:t>
      </w:r>
    </w:p>
    <w:p w14:paraId="7DD44A52" w14:textId="77777777" w:rsidR="00FA1C1A" w:rsidRPr="00FA1C1A" w:rsidRDefault="00FA1C1A" w:rsidP="00FA1C1A">
      <w:pPr>
        <w:spacing w:before="120" w:after="120"/>
        <w:rPr>
          <w:rFonts w:eastAsia="Times New Roman" w:cs="Arial"/>
          <w:lang w:eastAsia="en-ZA"/>
        </w:rPr>
      </w:pPr>
      <w:r w:rsidRPr="00FA1C1A">
        <w:rPr>
          <w:rFonts w:eastAsia="Times New Roman" w:cs="Arial"/>
          <w:b/>
          <w:bCs/>
          <w:lang w:eastAsia="en-ZA"/>
        </w:rPr>
        <w:t>How many hours of CPD must I complete?</w:t>
      </w:r>
    </w:p>
    <w:p w14:paraId="543415A9" w14:textId="77777777" w:rsidR="00FA1C1A" w:rsidRPr="00FA1C1A" w:rsidRDefault="00FA1C1A" w:rsidP="00FA1C1A">
      <w:pPr>
        <w:spacing w:before="120" w:after="120"/>
        <w:rPr>
          <w:rFonts w:eastAsia="Times New Roman" w:cs="Arial"/>
          <w:lang w:eastAsia="en-ZA"/>
        </w:rPr>
      </w:pPr>
      <w:r w:rsidRPr="00FA1C1A">
        <w:rPr>
          <w:rFonts w:eastAsia="Times New Roman" w:cs="Arial"/>
          <w:lang w:eastAsia="en-ZA"/>
        </w:rPr>
        <w:t>This will depend on the number of classes and subclasses of business you are registered for. For instance, if you do collective investments and pension benefits, or personal and commercial lines of business, you will need to do 18 hours of CPD.</w:t>
      </w:r>
    </w:p>
    <w:tbl>
      <w:tblPr>
        <w:tblW w:w="8250" w:type="dxa"/>
        <w:tblCellSpacing w:w="15" w:type="dxa"/>
        <w:tblCellMar>
          <w:top w:w="15" w:type="dxa"/>
          <w:left w:w="15" w:type="dxa"/>
          <w:bottom w:w="15" w:type="dxa"/>
          <w:right w:w="15" w:type="dxa"/>
        </w:tblCellMar>
        <w:tblLook w:val="04A0" w:firstRow="1" w:lastRow="0" w:firstColumn="1" w:lastColumn="0" w:noHBand="0" w:noVBand="1"/>
      </w:tblPr>
      <w:tblGrid>
        <w:gridCol w:w="4124"/>
        <w:gridCol w:w="4126"/>
      </w:tblGrid>
      <w:tr w:rsidR="00FA1C1A" w:rsidRPr="00FA1C1A" w14:paraId="7F5B9506" w14:textId="77777777" w:rsidTr="00FA1C1A">
        <w:trPr>
          <w:tblCellSpacing w:w="15" w:type="dxa"/>
        </w:trPr>
        <w:tc>
          <w:tcPr>
            <w:tcW w:w="4125" w:type="dxa"/>
            <w:vAlign w:val="center"/>
            <w:hideMark/>
          </w:tcPr>
          <w:p w14:paraId="6D2FE78F" w14:textId="77777777" w:rsidR="00FA1C1A" w:rsidRPr="00FA1C1A" w:rsidRDefault="00FA1C1A" w:rsidP="00FA1C1A">
            <w:pPr>
              <w:spacing w:before="120" w:after="120"/>
              <w:rPr>
                <w:rFonts w:eastAsia="Times New Roman" w:cs="Arial"/>
                <w:lang w:eastAsia="en-ZA"/>
              </w:rPr>
            </w:pPr>
            <w:r w:rsidRPr="00FA1C1A">
              <w:rPr>
                <w:rFonts w:eastAsia="Times New Roman" w:cs="Arial"/>
                <w:b/>
                <w:bCs/>
                <w:lang w:eastAsia="en-ZA"/>
              </w:rPr>
              <w:t>If you render financial services for…</w:t>
            </w:r>
          </w:p>
        </w:tc>
        <w:tc>
          <w:tcPr>
            <w:tcW w:w="4125" w:type="dxa"/>
            <w:vAlign w:val="center"/>
            <w:hideMark/>
          </w:tcPr>
          <w:p w14:paraId="61D339C1" w14:textId="77777777" w:rsidR="00FA1C1A" w:rsidRPr="00FA1C1A" w:rsidRDefault="00FA1C1A" w:rsidP="00FA1C1A">
            <w:pPr>
              <w:spacing w:before="120" w:after="120"/>
              <w:rPr>
                <w:rFonts w:eastAsia="Times New Roman" w:cs="Arial"/>
                <w:lang w:eastAsia="en-ZA"/>
              </w:rPr>
            </w:pPr>
            <w:r w:rsidRPr="00FA1C1A">
              <w:rPr>
                <w:rFonts w:eastAsia="Times New Roman" w:cs="Arial"/>
                <w:b/>
                <w:bCs/>
                <w:lang w:eastAsia="en-ZA"/>
              </w:rPr>
              <w:t>Then you must complete a minimum of…</w:t>
            </w:r>
          </w:p>
        </w:tc>
      </w:tr>
      <w:tr w:rsidR="00FA1C1A" w:rsidRPr="00FA1C1A" w14:paraId="0DE408C0" w14:textId="77777777" w:rsidTr="00FA1C1A">
        <w:trPr>
          <w:tblCellSpacing w:w="15" w:type="dxa"/>
        </w:trPr>
        <w:tc>
          <w:tcPr>
            <w:tcW w:w="4125" w:type="dxa"/>
            <w:vAlign w:val="center"/>
            <w:hideMark/>
          </w:tcPr>
          <w:p w14:paraId="7771074E" w14:textId="77777777" w:rsidR="00FA1C1A" w:rsidRPr="00FA1C1A" w:rsidRDefault="00FA1C1A" w:rsidP="00FA1C1A">
            <w:pPr>
              <w:spacing w:before="120" w:after="120"/>
              <w:rPr>
                <w:rFonts w:eastAsia="Times New Roman" w:cs="Arial"/>
                <w:lang w:eastAsia="en-ZA"/>
              </w:rPr>
            </w:pPr>
            <w:r w:rsidRPr="00FA1C1A">
              <w:rPr>
                <w:rFonts w:eastAsia="Times New Roman" w:cs="Arial"/>
                <w:lang w:eastAsia="en-ZA"/>
              </w:rPr>
              <w:lastRenderedPageBreak/>
              <w:t>a single subclass of business within a single class of business</w:t>
            </w:r>
          </w:p>
        </w:tc>
        <w:tc>
          <w:tcPr>
            <w:tcW w:w="4125" w:type="dxa"/>
            <w:vAlign w:val="center"/>
            <w:hideMark/>
          </w:tcPr>
          <w:p w14:paraId="46322C8D" w14:textId="77777777" w:rsidR="00FA1C1A" w:rsidRPr="00FA1C1A" w:rsidRDefault="00FA1C1A" w:rsidP="00FA1C1A">
            <w:pPr>
              <w:spacing w:before="120" w:after="120"/>
              <w:rPr>
                <w:rFonts w:eastAsia="Times New Roman" w:cs="Arial"/>
                <w:lang w:eastAsia="en-ZA"/>
              </w:rPr>
            </w:pPr>
            <w:r w:rsidRPr="00FA1C1A">
              <w:rPr>
                <w:rFonts w:eastAsia="Times New Roman" w:cs="Arial"/>
                <w:b/>
                <w:bCs/>
                <w:lang w:eastAsia="en-ZA"/>
              </w:rPr>
              <w:t>six</w:t>
            </w:r>
            <w:r w:rsidRPr="00FA1C1A">
              <w:rPr>
                <w:rFonts w:eastAsia="Times New Roman" w:cs="Arial"/>
                <w:lang w:eastAsia="en-ZA"/>
              </w:rPr>
              <w:t xml:space="preserve"> hours of CPD activities per CPD cycle</w:t>
            </w:r>
          </w:p>
        </w:tc>
      </w:tr>
      <w:tr w:rsidR="00FA1C1A" w:rsidRPr="00FA1C1A" w14:paraId="212F7EC5" w14:textId="77777777" w:rsidTr="00FA1C1A">
        <w:trPr>
          <w:tblCellSpacing w:w="15" w:type="dxa"/>
        </w:trPr>
        <w:tc>
          <w:tcPr>
            <w:tcW w:w="4125" w:type="dxa"/>
            <w:vAlign w:val="center"/>
            <w:hideMark/>
          </w:tcPr>
          <w:p w14:paraId="003053F8" w14:textId="77777777" w:rsidR="00FA1C1A" w:rsidRPr="00FA1C1A" w:rsidRDefault="00FA1C1A" w:rsidP="00FA1C1A">
            <w:pPr>
              <w:spacing w:before="120" w:after="120"/>
              <w:rPr>
                <w:rFonts w:eastAsia="Times New Roman" w:cs="Arial"/>
                <w:lang w:eastAsia="en-ZA"/>
              </w:rPr>
            </w:pPr>
            <w:r w:rsidRPr="00FA1C1A">
              <w:rPr>
                <w:rFonts w:eastAsia="Times New Roman" w:cs="Arial"/>
                <w:lang w:eastAsia="en-ZA"/>
              </w:rPr>
              <w:t>more than one subclass of business within a single class of business</w:t>
            </w:r>
          </w:p>
        </w:tc>
        <w:tc>
          <w:tcPr>
            <w:tcW w:w="4125" w:type="dxa"/>
            <w:vAlign w:val="center"/>
            <w:hideMark/>
          </w:tcPr>
          <w:p w14:paraId="5911F6A2" w14:textId="77777777" w:rsidR="00FA1C1A" w:rsidRPr="00FA1C1A" w:rsidRDefault="00FA1C1A" w:rsidP="00FA1C1A">
            <w:pPr>
              <w:spacing w:before="120" w:after="120"/>
              <w:rPr>
                <w:rFonts w:eastAsia="Times New Roman" w:cs="Arial"/>
                <w:lang w:eastAsia="en-ZA"/>
              </w:rPr>
            </w:pPr>
            <w:r w:rsidRPr="00FA1C1A">
              <w:rPr>
                <w:rFonts w:eastAsia="Times New Roman" w:cs="Arial"/>
                <w:b/>
                <w:bCs/>
                <w:lang w:eastAsia="en-ZA"/>
              </w:rPr>
              <w:t>12</w:t>
            </w:r>
            <w:r w:rsidRPr="00FA1C1A">
              <w:rPr>
                <w:rFonts w:eastAsia="Times New Roman" w:cs="Arial"/>
                <w:lang w:eastAsia="en-ZA"/>
              </w:rPr>
              <w:t xml:space="preserve"> hours of CPD activities per CPD cycle</w:t>
            </w:r>
          </w:p>
        </w:tc>
      </w:tr>
      <w:tr w:rsidR="00FA1C1A" w:rsidRPr="00FA1C1A" w14:paraId="0713B845" w14:textId="77777777" w:rsidTr="00FA1C1A">
        <w:trPr>
          <w:tblCellSpacing w:w="15" w:type="dxa"/>
        </w:trPr>
        <w:tc>
          <w:tcPr>
            <w:tcW w:w="4125" w:type="dxa"/>
            <w:vAlign w:val="center"/>
            <w:hideMark/>
          </w:tcPr>
          <w:p w14:paraId="361F0C3B" w14:textId="77777777" w:rsidR="00FA1C1A" w:rsidRPr="00FA1C1A" w:rsidRDefault="00FA1C1A" w:rsidP="00FA1C1A">
            <w:pPr>
              <w:spacing w:before="120" w:after="120"/>
              <w:rPr>
                <w:rFonts w:eastAsia="Times New Roman" w:cs="Arial"/>
                <w:lang w:eastAsia="en-ZA"/>
              </w:rPr>
            </w:pPr>
            <w:r w:rsidRPr="00FA1C1A">
              <w:rPr>
                <w:rFonts w:eastAsia="Times New Roman" w:cs="Arial"/>
                <w:lang w:eastAsia="en-ZA"/>
              </w:rPr>
              <w:t>more than one class of business</w:t>
            </w:r>
          </w:p>
        </w:tc>
        <w:tc>
          <w:tcPr>
            <w:tcW w:w="4125" w:type="dxa"/>
            <w:vAlign w:val="center"/>
            <w:hideMark/>
          </w:tcPr>
          <w:p w14:paraId="602503E8" w14:textId="77777777" w:rsidR="00FA1C1A" w:rsidRPr="00FA1C1A" w:rsidRDefault="00FA1C1A" w:rsidP="00FA1C1A">
            <w:pPr>
              <w:spacing w:before="120" w:after="120"/>
              <w:rPr>
                <w:rFonts w:eastAsia="Times New Roman" w:cs="Arial"/>
                <w:lang w:eastAsia="en-ZA"/>
              </w:rPr>
            </w:pPr>
            <w:r w:rsidRPr="00FA1C1A">
              <w:rPr>
                <w:rFonts w:eastAsia="Times New Roman" w:cs="Arial"/>
                <w:b/>
                <w:bCs/>
                <w:lang w:eastAsia="en-ZA"/>
              </w:rPr>
              <w:t>18</w:t>
            </w:r>
            <w:r w:rsidRPr="00FA1C1A">
              <w:rPr>
                <w:rFonts w:eastAsia="Times New Roman" w:cs="Arial"/>
                <w:lang w:eastAsia="en-ZA"/>
              </w:rPr>
              <w:t xml:space="preserve"> hours of CPD activities per CPD cycle</w:t>
            </w:r>
          </w:p>
        </w:tc>
      </w:tr>
    </w:tbl>
    <w:p w14:paraId="1A90F281" w14:textId="77777777" w:rsidR="00FA1C1A" w:rsidRPr="00FA1C1A" w:rsidRDefault="00FA1C1A" w:rsidP="00FA1C1A">
      <w:pPr>
        <w:spacing w:before="120" w:after="120"/>
        <w:rPr>
          <w:rFonts w:eastAsia="Times New Roman" w:cs="Arial"/>
          <w:lang w:eastAsia="en-ZA"/>
        </w:rPr>
      </w:pPr>
      <w:r w:rsidRPr="00FA1C1A">
        <w:rPr>
          <w:rFonts w:eastAsia="Times New Roman" w:cs="Arial"/>
          <w:b/>
          <w:bCs/>
          <w:lang w:eastAsia="en-ZA"/>
        </w:rPr>
        <w:t>Who provides CPD training?</w:t>
      </w:r>
    </w:p>
    <w:p w14:paraId="45B4049F" w14:textId="77777777" w:rsidR="00FA1C1A" w:rsidRPr="00FA1C1A" w:rsidRDefault="00FA1C1A" w:rsidP="00FA1C1A">
      <w:pPr>
        <w:spacing w:before="120" w:after="120"/>
        <w:rPr>
          <w:rFonts w:eastAsia="Times New Roman" w:cs="Arial"/>
          <w:lang w:eastAsia="en-ZA"/>
        </w:rPr>
      </w:pPr>
      <w:r w:rsidRPr="00FA1C1A">
        <w:rPr>
          <w:rFonts w:eastAsia="Times New Roman" w:cs="Arial"/>
          <w:lang w:eastAsia="en-ZA"/>
        </w:rPr>
        <w:t>Please note that all CPD activities, as indicated above, should be accredited by a professional body. Please make 100% sure of this when deciding on a provider, or you could be up the creek without a paddle when the final bell tolls.</w:t>
      </w:r>
    </w:p>
    <w:p w14:paraId="262225B9" w14:textId="77777777" w:rsidR="00FA1C1A" w:rsidRPr="00FA1C1A" w:rsidRDefault="00FA1C1A" w:rsidP="00FA1C1A">
      <w:pPr>
        <w:spacing w:before="120" w:after="120"/>
        <w:rPr>
          <w:rFonts w:eastAsia="Times New Roman" w:cs="Arial"/>
          <w:lang w:eastAsia="en-ZA"/>
        </w:rPr>
      </w:pPr>
      <w:r w:rsidRPr="00FA1C1A">
        <w:rPr>
          <w:rFonts w:eastAsia="Times New Roman" w:cs="Arial"/>
          <w:lang w:eastAsia="en-ZA"/>
        </w:rPr>
        <w:t xml:space="preserve">We strongly advise you to study the </w:t>
      </w:r>
      <w:hyperlink r:id="rId164" w:history="1">
        <w:r w:rsidRPr="00FA1C1A">
          <w:rPr>
            <w:rFonts w:eastAsia="Times New Roman" w:cs="Arial"/>
            <w:b/>
            <w:bCs/>
            <w:color w:val="0000FF"/>
            <w:u w:val="single"/>
            <w:lang w:eastAsia="en-ZA"/>
          </w:rPr>
          <w:t>actual details on CPD</w:t>
        </w:r>
      </w:hyperlink>
      <w:r w:rsidRPr="00FA1C1A">
        <w:rPr>
          <w:rFonts w:eastAsia="Times New Roman" w:cs="Arial"/>
          <w:lang w:eastAsia="en-ZA"/>
        </w:rPr>
        <w:t xml:space="preserve"> contained in the Determination, which we have extracted for your ease of reference.</w:t>
      </w:r>
    </w:p>
    <w:p w14:paraId="070DFB82" w14:textId="77777777" w:rsidR="00FA1C1A" w:rsidRPr="00FA1C1A" w:rsidRDefault="00FA1C1A" w:rsidP="00FA1C1A">
      <w:pPr>
        <w:spacing w:before="120" w:after="120"/>
        <w:rPr>
          <w:rFonts w:eastAsia="Times New Roman" w:cs="Arial"/>
          <w:lang w:eastAsia="en-ZA"/>
        </w:rPr>
      </w:pPr>
      <w:r w:rsidRPr="00FA1C1A">
        <w:rPr>
          <w:rFonts w:eastAsia="Times New Roman" w:cs="Arial"/>
          <w:i/>
          <w:iCs/>
          <w:lang w:eastAsia="en-ZA"/>
        </w:rPr>
        <w:t>The answer to our introductory questions is “18 hours” – why? The representative is approved for more than one class of business.</w:t>
      </w:r>
    </w:p>
    <w:p w14:paraId="3E7660C6" w14:textId="77777777" w:rsidR="00FA1C1A" w:rsidRPr="00FA1C1A" w:rsidRDefault="00FA1C1A" w:rsidP="00FA1C1A">
      <w:pPr>
        <w:spacing w:before="120" w:after="120"/>
        <w:rPr>
          <w:rFonts w:eastAsia="Times New Roman" w:cs="Arial"/>
          <w:lang w:eastAsia="en-ZA"/>
        </w:rPr>
      </w:pPr>
      <w:r w:rsidRPr="00FA1C1A">
        <w:rPr>
          <w:rFonts w:eastAsia="Times New Roman" w:cs="Arial"/>
          <w:lang w:eastAsia="en-ZA"/>
        </w:rPr>
        <w:t>Hopefully, you have been a good girl or boy, and only need to round off the final hour or two in the last few months.</w:t>
      </w:r>
    </w:p>
    <w:p w14:paraId="5E6B6EC2" w14:textId="77777777" w:rsidR="00FA1C1A" w:rsidRPr="00FA1C1A" w:rsidRDefault="00FA1C1A" w:rsidP="00FA1C1A">
      <w:pPr>
        <w:spacing w:before="120" w:after="120"/>
        <w:rPr>
          <w:rFonts w:eastAsia="Times New Roman" w:cs="Arial"/>
          <w:lang w:eastAsia="en-ZA"/>
        </w:rPr>
      </w:pPr>
      <w:r w:rsidRPr="00FA1C1A">
        <w:rPr>
          <w:rFonts w:eastAsia="Times New Roman" w:cs="Arial"/>
          <w:lang w:eastAsia="en-ZA"/>
        </w:rPr>
        <w:t>If not, we suggest you urgently read the MBSE frequently asked questions document, linked below, and get to work straight away.</w:t>
      </w:r>
    </w:p>
    <w:p w14:paraId="23455541" w14:textId="0A923F9E" w:rsidR="00FA1C1A" w:rsidRDefault="00FA1C1A" w:rsidP="00FA1C1A">
      <w:pPr>
        <w:spacing w:before="120" w:after="120"/>
        <w:jc w:val="both"/>
        <w:rPr>
          <w:rFonts w:eastAsia="Times New Roman" w:cs="Arial"/>
          <w:color w:val="2A2A2A"/>
          <w:lang w:eastAsia="en-ZA"/>
        </w:rPr>
      </w:pPr>
      <w:hyperlink r:id="rId165" w:history="1">
        <w:r w:rsidRPr="005E7EB2">
          <w:rPr>
            <w:rStyle w:val="Hyperlink"/>
            <w:rFonts w:eastAsia="Times New Roman" w:cs="Arial"/>
            <w:lang w:eastAsia="en-ZA"/>
          </w:rPr>
          <w:t>https://www.moonstone.co.za/continuous-professional-development-are-your-hours-adding-up/</w:t>
        </w:r>
      </w:hyperlink>
    </w:p>
    <w:p w14:paraId="2853C060" w14:textId="77777777" w:rsidR="00FA1C1A" w:rsidRDefault="00FA1C1A" w:rsidP="00FA1C1A">
      <w:pPr>
        <w:spacing w:before="120" w:after="120"/>
        <w:jc w:val="both"/>
        <w:rPr>
          <w:rFonts w:eastAsia="Times New Roman" w:cs="Arial"/>
          <w:color w:val="2A2A2A"/>
          <w:lang w:eastAsia="en-ZA"/>
        </w:rPr>
      </w:pPr>
    </w:p>
    <w:p w14:paraId="710E958A" w14:textId="77777777" w:rsidR="00FA1C1A" w:rsidRPr="00FA1C1A" w:rsidRDefault="00FA1C1A" w:rsidP="00FA1C1A">
      <w:pPr>
        <w:pStyle w:val="Heading1"/>
        <w:spacing w:before="120" w:after="120"/>
        <w:jc w:val="both"/>
        <w:rPr>
          <w:rFonts w:ascii="Arial" w:hAnsi="Arial" w:cs="Arial"/>
          <w:sz w:val="22"/>
          <w:szCs w:val="22"/>
        </w:rPr>
      </w:pPr>
      <w:r w:rsidRPr="00FA1C1A">
        <w:rPr>
          <w:rFonts w:ascii="Arial" w:hAnsi="Arial" w:cs="Arial"/>
          <w:sz w:val="22"/>
          <w:szCs w:val="22"/>
        </w:rPr>
        <w:t>What is Risk?</w:t>
      </w:r>
    </w:p>
    <w:p w14:paraId="578BB45C" w14:textId="77777777" w:rsidR="00FA1C1A" w:rsidRPr="00FA1C1A" w:rsidRDefault="00FA1C1A" w:rsidP="00FA1C1A">
      <w:pPr>
        <w:pStyle w:val="NormalWeb"/>
        <w:spacing w:before="120" w:beforeAutospacing="0" w:after="120" w:afterAutospacing="0"/>
        <w:jc w:val="both"/>
        <w:rPr>
          <w:rFonts w:ascii="Arial" w:hAnsi="Arial" w:cs="Arial"/>
          <w:sz w:val="22"/>
          <w:szCs w:val="22"/>
        </w:rPr>
      </w:pPr>
      <w:r w:rsidRPr="00FA1C1A">
        <w:rPr>
          <w:rFonts w:ascii="Arial" w:hAnsi="Arial" w:cs="Arial"/>
          <w:sz w:val="22"/>
          <w:szCs w:val="22"/>
        </w:rPr>
        <w:t xml:space="preserve">All investments involve some degree of </w:t>
      </w:r>
      <w:hyperlink r:id="rId166" w:history="1">
        <w:r w:rsidRPr="00FA1C1A">
          <w:rPr>
            <w:rStyle w:val="Hyperlink"/>
            <w:rFonts w:ascii="Arial" w:hAnsi="Arial" w:cs="Arial"/>
            <w:sz w:val="22"/>
            <w:szCs w:val="22"/>
          </w:rPr>
          <w:t>risk</w:t>
        </w:r>
      </w:hyperlink>
      <w:r w:rsidRPr="00FA1C1A">
        <w:rPr>
          <w:rFonts w:ascii="Arial" w:hAnsi="Arial" w:cs="Arial"/>
          <w:sz w:val="22"/>
          <w:szCs w:val="22"/>
        </w:rPr>
        <w:t>. In finance, risk refers to the degree of uncertainty and/or potential financial loss inherent in an investment decision.  In general, as investment risks rise, investors seek higher returns to compensate themselves for taking such risks.</w:t>
      </w:r>
    </w:p>
    <w:p w14:paraId="2593168C" w14:textId="77777777" w:rsidR="00FA1C1A" w:rsidRPr="00FA1C1A" w:rsidRDefault="00FA1C1A" w:rsidP="00FA1C1A">
      <w:pPr>
        <w:pStyle w:val="rteleft"/>
        <w:spacing w:before="120" w:beforeAutospacing="0" w:after="120" w:afterAutospacing="0"/>
        <w:jc w:val="both"/>
        <w:rPr>
          <w:rFonts w:ascii="Arial" w:hAnsi="Arial" w:cs="Arial"/>
          <w:sz w:val="22"/>
          <w:szCs w:val="22"/>
        </w:rPr>
      </w:pPr>
      <w:r w:rsidRPr="00FA1C1A">
        <w:rPr>
          <w:rFonts w:ascii="Arial" w:hAnsi="Arial" w:cs="Arial"/>
          <w:sz w:val="22"/>
          <w:szCs w:val="22"/>
        </w:rPr>
        <w:t>Every saving and investment product has different risks and returns.  Differences include: how readily investors can get their money when they need it, how fast their money will grow, and how safe their money will be. In this section, we are going to talk about a number of risks investors face.  They include:</w:t>
      </w:r>
    </w:p>
    <w:p w14:paraId="16D4CCA2" w14:textId="77777777" w:rsidR="00FA1C1A" w:rsidRPr="00FA1C1A" w:rsidRDefault="00FA1C1A" w:rsidP="00FA1C1A">
      <w:pPr>
        <w:pStyle w:val="Heading2"/>
        <w:spacing w:before="120" w:after="120"/>
        <w:jc w:val="both"/>
        <w:rPr>
          <w:rFonts w:ascii="Arial" w:hAnsi="Arial" w:cs="Arial"/>
          <w:sz w:val="22"/>
          <w:szCs w:val="22"/>
        </w:rPr>
      </w:pPr>
      <w:r w:rsidRPr="00FA1C1A">
        <w:rPr>
          <w:rFonts w:ascii="Arial" w:hAnsi="Arial" w:cs="Arial"/>
          <w:sz w:val="22"/>
          <w:szCs w:val="22"/>
        </w:rPr>
        <w:t>Business Risk</w:t>
      </w:r>
    </w:p>
    <w:p w14:paraId="7CBB192C" w14:textId="77777777" w:rsidR="00FA1C1A" w:rsidRPr="00FA1C1A" w:rsidRDefault="00FA1C1A" w:rsidP="00FA1C1A">
      <w:pPr>
        <w:pStyle w:val="rteleft"/>
        <w:spacing w:before="120" w:beforeAutospacing="0" w:after="120" w:afterAutospacing="0"/>
        <w:jc w:val="both"/>
        <w:rPr>
          <w:rFonts w:ascii="Arial" w:hAnsi="Arial" w:cs="Arial"/>
          <w:sz w:val="22"/>
          <w:szCs w:val="22"/>
        </w:rPr>
      </w:pPr>
      <w:r w:rsidRPr="00FA1C1A">
        <w:rPr>
          <w:rFonts w:ascii="Arial" w:hAnsi="Arial" w:cs="Arial"/>
          <w:sz w:val="22"/>
          <w:szCs w:val="22"/>
        </w:rPr>
        <w:t>With a stock, you are purchasing a piece of ownership in a company.  With a bond, you are loaning money to a company.  Returns from both of these investments require that that the company stays in business. If a company goes bankrupt and its assets are liquidated, common stockholders are the last in line to share in the proceeds.  If there are assets, the company’s bondholders will be paid first, then holders of preferred stock.  If you are a common stockholder, you get whatever is left, which may be nothing.</w:t>
      </w:r>
    </w:p>
    <w:p w14:paraId="30C1A146" w14:textId="77777777" w:rsidR="00FA1C1A" w:rsidRPr="00FA1C1A" w:rsidRDefault="00FA1C1A" w:rsidP="00FA1C1A">
      <w:pPr>
        <w:pStyle w:val="rteleft"/>
        <w:spacing w:before="120" w:beforeAutospacing="0" w:after="120" w:afterAutospacing="0"/>
        <w:jc w:val="both"/>
        <w:rPr>
          <w:rFonts w:ascii="Arial" w:hAnsi="Arial" w:cs="Arial"/>
          <w:sz w:val="22"/>
          <w:szCs w:val="22"/>
        </w:rPr>
      </w:pPr>
      <w:r w:rsidRPr="00FA1C1A">
        <w:rPr>
          <w:rFonts w:ascii="Arial" w:hAnsi="Arial" w:cs="Arial"/>
          <w:sz w:val="22"/>
          <w:szCs w:val="22"/>
        </w:rPr>
        <w:t>If you are purchasing an annuity make sure you consider the financial strength of the insurance company issuing the annuity.  You want to be sure that the company will still be around, and financially sound, during your payout phase.</w:t>
      </w:r>
    </w:p>
    <w:p w14:paraId="0F54D0AD" w14:textId="77777777" w:rsidR="00FA1C1A" w:rsidRPr="00FA1C1A" w:rsidRDefault="00FA1C1A" w:rsidP="00FA1C1A">
      <w:pPr>
        <w:pStyle w:val="Heading2"/>
        <w:spacing w:before="120" w:after="120"/>
        <w:jc w:val="both"/>
        <w:rPr>
          <w:rFonts w:ascii="Arial" w:hAnsi="Arial" w:cs="Arial"/>
          <w:sz w:val="22"/>
          <w:szCs w:val="22"/>
        </w:rPr>
      </w:pPr>
      <w:r w:rsidRPr="00FA1C1A">
        <w:rPr>
          <w:rFonts w:ascii="Arial" w:hAnsi="Arial" w:cs="Arial"/>
          <w:sz w:val="22"/>
          <w:szCs w:val="22"/>
        </w:rPr>
        <w:t>Volatility Risk</w:t>
      </w:r>
    </w:p>
    <w:p w14:paraId="43D632F2" w14:textId="77777777" w:rsidR="00FA1C1A" w:rsidRPr="00FA1C1A" w:rsidRDefault="00FA1C1A" w:rsidP="00FA1C1A">
      <w:pPr>
        <w:pStyle w:val="rteleft"/>
        <w:spacing w:before="120" w:beforeAutospacing="0" w:after="120" w:afterAutospacing="0"/>
        <w:jc w:val="both"/>
        <w:rPr>
          <w:rFonts w:ascii="Arial" w:hAnsi="Arial" w:cs="Arial"/>
          <w:sz w:val="22"/>
          <w:szCs w:val="22"/>
        </w:rPr>
      </w:pPr>
      <w:r w:rsidRPr="00FA1C1A">
        <w:rPr>
          <w:rFonts w:ascii="Arial" w:hAnsi="Arial" w:cs="Arial"/>
          <w:sz w:val="22"/>
          <w:szCs w:val="22"/>
        </w:rPr>
        <w:t>Even when companies aren’t in danger of failing, their stock price may fluctuate up or down.  Large company stocks as a group, for example, have lost money on average about one out of every three years.  Market fluctuations can be unnerving to some investors.  A stock’s price can be affected by factors inside the company, such as a faulty product, or by events the company has no control over, such as political or market events.</w:t>
      </w:r>
    </w:p>
    <w:p w14:paraId="0B6D4D4D" w14:textId="77777777" w:rsidR="00FA1C1A" w:rsidRPr="00FA1C1A" w:rsidRDefault="00FA1C1A" w:rsidP="00FA1C1A">
      <w:pPr>
        <w:pStyle w:val="Heading2"/>
        <w:spacing w:before="120" w:after="120"/>
        <w:jc w:val="both"/>
        <w:rPr>
          <w:rFonts w:ascii="Arial" w:hAnsi="Arial" w:cs="Arial"/>
          <w:sz w:val="22"/>
          <w:szCs w:val="22"/>
        </w:rPr>
      </w:pPr>
      <w:r w:rsidRPr="00FA1C1A">
        <w:rPr>
          <w:rFonts w:ascii="Arial" w:hAnsi="Arial" w:cs="Arial"/>
          <w:sz w:val="22"/>
          <w:szCs w:val="22"/>
        </w:rPr>
        <w:lastRenderedPageBreak/>
        <w:t>Inflation Risk</w:t>
      </w:r>
    </w:p>
    <w:p w14:paraId="7B3B3F36" w14:textId="77777777" w:rsidR="00FA1C1A" w:rsidRPr="00FA1C1A" w:rsidRDefault="00FA1C1A" w:rsidP="00FA1C1A">
      <w:pPr>
        <w:pStyle w:val="rteleft"/>
        <w:spacing w:before="120" w:beforeAutospacing="0" w:after="120" w:afterAutospacing="0"/>
        <w:jc w:val="both"/>
        <w:rPr>
          <w:rFonts w:ascii="Arial" w:hAnsi="Arial" w:cs="Arial"/>
          <w:sz w:val="22"/>
          <w:szCs w:val="22"/>
        </w:rPr>
      </w:pPr>
      <w:r w:rsidRPr="00FA1C1A">
        <w:rPr>
          <w:rFonts w:ascii="Arial" w:hAnsi="Arial" w:cs="Arial"/>
          <w:sz w:val="22"/>
          <w:szCs w:val="22"/>
        </w:rPr>
        <w:t>Inflation is a general upward movement of prices.  Inflation reduces purchasing power, which is a risk for investors receiving a fixed rate of interest.  The principal concern for individuals investing in cash equivalents is that inflation will erode returns.</w:t>
      </w:r>
    </w:p>
    <w:p w14:paraId="2AF4FC52" w14:textId="77777777" w:rsidR="00FA1C1A" w:rsidRPr="00FA1C1A" w:rsidRDefault="00FA1C1A" w:rsidP="00FA1C1A">
      <w:pPr>
        <w:pStyle w:val="Heading2"/>
        <w:spacing w:before="120" w:after="120"/>
        <w:jc w:val="both"/>
        <w:rPr>
          <w:rFonts w:ascii="Arial" w:hAnsi="Arial" w:cs="Arial"/>
          <w:sz w:val="22"/>
          <w:szCs w:val="22"/>
        </w:rPr>
      </w:pPr>
      <w:r w:rsidRPr="00FA1C1A">
        <w:rPr>
          <w:rFonts w:ascii="Arial" w:hAnsi="Arial" w:cs="Arial"/>
          <w:sz w:val="22"/>
          <w:szCs w:val="22"/>
        </w:rPr>
        <w:t>Interest Rate Risk</w:t>
      </w:r>
    </w:p>
    <w:p w14:paraId="13809974" w14:textId="77777777" w:rsidR="00FA1C1A" w:rsidRPr="00FA1C1A" w:rsidRDefault="00FA1C1A" w:rsidP="00FA1C1A">
      <w:pPr>
        <w:pStyle w:val="rteleft"/>
        <w:spacing w:before="120" w:beforeAutospacing="0" w:after="120" w:afterAutospacing="0"/>
        <w:jc w:val="both"/>
        <w:rPr>
          <w:rFonts w:ascii="Arial" w:hAnsi="Arial" w:cs="Arial"/>
          <w:sz w:val="22"/>
          <w:szCs w:val="22"/>
        </w:rPr>
      </w:pPr>
      <w:r w:rsidRPr="00FA1C1A">
        <w:rPr>
          <w:rFonts w:ascii="Arial" w:hAnsi="Arial" w:cs="Arial"/>
          <w:sz w:val="22"/>
          <w:szCs w:val="22"/>
        </w:rPr>
        <w:t>Interest rate changes can affect a bond’s value.  If bonds are held to maturity the investor will receive the face value, plus interest.  If sold before maturity, the bond may be worth more or less than the face value.  Rising interest rates will make newly issued bonds more appealing to investors because the newer bonds will have a higher rate of interest than older ones.  To sell an older bond with a lower interest rate, you might have to sell it at a discount.</w:t>
      </w:r>
    </w:p>
    <w:p w14:paraId="478BAB71" w14:textId="77777777" w:rsidR="00FA1C1A" w:rsidRPr="00FA1C1A" w:rsidRDefault="00FA1C1A" w:rsidP="00FA1C1A">
      <w:pPr>
        <w:pStyle w:val="Heading2"/>
        <w:spacing w:before="120" w:after="120"/>
        <w:jc w:val="both"/>
        <w:rPr>
          <w:rFonts w:ascii="Arial" w:hAnsi="Arial" w:cs="Arial"/>
          <w:sz w:val="22"/>
          <w:szCs w:val="22"/>
        </w:rPr>
      </w:pPr>
      <w:r w:rsidRPr="00FA1C1A">
        <w:rPr>
          <w:rFonts w:ascii="Arial" w:hAnsi="Arial" w:cs="Arial"/>
          <w:sz w:val="22"/>
          <w:szCs w:val="22"/>
        </w:rPr>
        <w:t>Liquidity Risk</w:t>
      </w:r>
    </w:p>
    <w:p w14:paraId="543CDFA6" w14:textId="77777777" w:rsidR="00FA1C1A" w:rsidRPr="00FA1C1A" w:rsidRDefault="00FA1C1A" w:rsidP="00FA1C1A">
      <w:pPr>
        <w:pStyle w:val="rteleft"/>
        <w:spacing w:before="120" w:beforeAutospacing="0" w:after="120" w:afterAutospacing="0"/>
        <w:jc w:val="both"/>
        <w:rPr>
          <w:rFonts w:ascii="Arial" w:hAnsi="Arial" w:cs="Arial"/>
          <w:sz w:val="22"/>
          <w:szCs w:val="22"/>
        </w:rPr>
      </w:pPr>
      <w:r w:rsidRPr="00FA1C1A">
        <w:rPr>
          <w:rFonts w:ascii="Arial" w:hAnsi="Arial" w:cs="Arial"/>
          <w:sz w:val="22"/>
          <w:szCs w:val="22"/>
        </w:rPr>
        <w:t>This refers to the risk that investors won’t find a market for their securities, potentially preventing them from buying or selling when they want. This can be the case with the more complicated investment products.  It may also be the case with products that charge a penalty for early withdrawal or liquidation such as a certificate of deposit (CD).</w:t>
      </w:r>
    </w:p>
    <w:p w14:paraId="3E5CB5BA" w14:textId="77777777" w:rsidR="00FA1C1A" w:rsidRPr="00FA1C1A" w:rsidRDefault="00FA1C1A" w:rsidP="00FA1C1A">
      <w:pPr>
        <w:pStyle w:val="Heading2"/>
        <w:spacing w:before="120" w:after="120"/>
        <w:jc w:val="both"/>
        <w:rPr>
          <w:rFonts w:ascii="Arial" w:hAnsi="Arial" w:cs="Arial"/>
          <w:sz w:val="22"/>
          <w:szCs w:val="22"/>
        </w:rPr>
      </w:pPr>
      <w:r w:rsidRPr="00FA1C1A">
        <w:rPr>
          <w:rFonts w:ascii="Arial" w:hAnsi="Arial" w:cs="Arial"/>
          <w:sz w:val="22"/>
          <w:szCs w:val="22"/>
        </w:rPr>
        <w:t>Are there any Guarantees?</w:t>
      </w:r>
    </w:p>
    <w:p w14:paraId="05B472EC" w14:textId="77777777" w:rsidR="00FA1C1A" w:rsidRPr="00FA1C1A" w:rsidRDefault="00FA1C1A" w:rsidP="00FA1C1A">
      <w:pPr>
        <w:pStyle w:val="rteleft"/>
        <w:spacing w:before="120" w:beforeAutospacing="0" w:after="120" w:afterAutospacing="0"/>
        <w:jc w:val="both"/>
        <w:rPr>
          <w:rFonts w:ascii="Arial" w:hAnsi="Arial" w:cs="Arial"/>
          <w:sz w:val="22"/>
          <w:szCs w:val="22"/>
        </w:rPr>
      </w:pPr>
      <w:r w:rsidRPr="00FA1C1A">
        <w:rPr>
          <w:rStyle w:val="Strong"/>
          <w:rFonts w:ascii="Arial" w:hAnsi="Arial" w:cs="Arial"/>
          <w:sz w:val="22"/>
          <w:szCs w:val="22"/>
        </w:rPr>
        <w:t xml:space="preserve">The Federal Deposit Insurance Corporation (FDIC) </w:t>
      </w:r>
      <w:r w:rsidRPr="00FA1C1A">
        <w:rPr>
          <w:rFonts w:ascii="Arial" w:hAnsi="Arial" w:cs="Arial"/>
          <w:sz w:val="22"/>
          <w:szCs w:val="22"/>
        </w:rPr>
        <w:t>– Savings accounts, insured money market accounts, and certificates of deposit (CDs) are generally viewed as safe because they are federally insured by FDIC.  This independent agency of the federal government insures your money up to $250,000 per insured bank.  It is important to note that the total is per depositor not per account.  But there’s a tradeoff between security and availability; your money earns a low interest rate. </w:t>
      </w:r>
    </w:p>
    <w:p w14:paraId="76A96CBF" w14:textId="77777777" w:rsidR="00FA1C1A" w:rsidRPr="00FA1C1A" w:rsidRDefault="00FA1C1A" w:rsidP="00FA1C1A">
      <w:pPr>
        <w:pStyle w:val="rteleft"/>
        <w:spacing w:before="120" w:beforeAutospacing="0" w:after="120" w:afterAutospacing="0"/>
        <w:jc w:val="both"/>
        <w:rPr>
          <w:rFonts w:ascii="Arial" w:hAnsi="Arial" w:cs="Arial"/>
          <w:sz w:val="22"/>
          <w:szCs w:val="22"/>
        </w:rPr>
      </w:pPr>
      <w:r w:rsidRPr="00FA1C1A">
        <w:rPr>
          <w:rFonts w:ascii="Arial" w:hAnsi="Arial" w:cs="Arial"/>
          <w:sz w:val="22"/>
          <w:szCs w:val="22"/>
        </w:rPr>
        <w:t>The FDIC insures deposits only.  It does not insure securities, mutual funds, or similar types of investments that banks and thrift institutions may offer.</w:t>
      </w:r>
    </w:p>
    <w:p w14:paraId="5CBDD13F" w14:textId="77777777" w:rsidR="00FA1C1A" w:rsidRPr="00FA1C1A" w:rsidRDefault="00FA1C1A" w:rsidP="00FA1C1A">
      <w:pPr>
        <w:pStyle w:val="rteleft"/>
        <w:spacing w:before="120" w:beforeAutospacing="0" w:after="120" w:afterAutospacing="0"/>
        <w:jc w:val="both"/>
        <w:rPr>
          <w:rFonts w:ascii="Arial" w:hAnsi="Arial" w:cs="Arial"/>
          <w:sz w:val="22"/>
          <w:szCs w:val="22"/>
        </w:rPr>
      </w:pPr>
      <w:r w:rsidRPr="00FA1C1A">
        <w:rPr>
          <w:rStyle w:val="Strong"/>
          <w:rFonts w:ascii="Arial" w:hAnsi="Arial" w:cs="Arial"/>
          <w:sz w:val="22"/>
          <w:szCs w:val="22"/>
        </w:rPr>
        <w:t xml:space="preserve">The National Credit Union Administration (NCUA) </w:t>
      </w:r>
      <w:r w:rsidRPr="00FA1C1A">
        <w:rPr>
          <w:rFonts w:ascii="Arial" w:hAnsi="Arial" w:cs="Arial"/>
          <w:sz w:val="22"/>
          <w:szCs w:val="22"/>
        </w:rPr>
        <w:t>–The National Credit Union Share Insurance Fund (NCUSIF) is the federal fund created by Congress in 1970 to insure credit union member’s deposits in federally insured credit unions.  The Dodd -Frank Act permanently established NCUA’s standard maximum share insurance amount at $250,000.  NCUSIF is backed by the full faith and credit of the U.S. Government.</w:t>
      </w:r>
    </w:p>
    <w:p w14:paraId="79115372" w14:textId="0B685290" w:rsidR="00FA1C1A" w:rsidRDefault="00FA1C1A" w:rsidP="00FA1C1A">
      <w:pPr>
        <w:pStyle w:val="rteleft"/>
        <w:spacing w:before="120" w:beforeAutospacing="0" w:after="120" w:afterAutospacing="0"/>
        <w:jc w:val="both"/>
        <w:rPr>
          <w:rFonts w:ascii="Arial" w:hAnsi="Arial" w:cs="Arial"/>
          <w:sz w:val="22"/>
          <w:szCs w:val="22"/>
        </w:rPr>
      </w:pPr>
      <w:r w:rsidRPr="00FA1C1A">
        <w:rPr>
          <w:rStyle w:val="Strong"/>
          <w:rFonts w:ascii="Arial" w:hAnsi="Arial" w:cs="Arial"/>
          <w:sz w:val="22"/>
          <w:szCs w:val="22"/>
        </w:rPr>
        <w:t>Securities Investors Protection Corporation (SIPC) </w:t>
      </w:r>
      <w:r w:rsidRPr="00FA1C1A">
        <w:rPr>
          <w:rFonts w:ascii="Arial" w:hAnsi="Arial" w:cs="Arial"/>
          <w:sz w:val="22"/>
          <w:szCs w:val="22"/>
        </w:rPr>
        <w:t xml:space="preserve">– Securities you own, including mutual funds that are held for your account by a broker, or a bank's brokerage subsidiary, are not insured against loss in value.  The value of your investments can go up or down depending on the demand for them in the market.  The Securities Investors Protection Corporation (SIPC), a non government entity, replaces missing stocks and other securities in customer accounts held by SIPC member firm up to $500,000, including up to $250,000 in cash, if the firm fails.  For more information see </w:t>
      </w:r>
      <w:hyperlink r:id="rId167" w:tgtFrame="_blank" w:history="1">
        <w:r w:rsidRPr="00FA1C1A">
          <w:rPr>
            <w:rStyle w:val="Hyperlink"/>
            <w:rFonts w:ascii="Arial" w:hAnsi="Arial" w:cs="Arial"/>
            <w:sz w:val="22"/>
            <w:szCs w:val="22"/>
          </w:rPr>
          <w:t>www.sipc.org</w:t>
        </w:r>
      </w:hyperlink>
    </w:p>
    <w:p w14:paraId="3C341336" w14:textId="3CE4E68A" w:rsidR="00FA1C1A" w:rsidRDefault="00FA1C1A" w:rsidP="00FA1C1A">
      <w:pPr>
        <w:pStyle w:val="rteleft"/>
        <w:spacing w:before="120" w:beforeAutospacing="0" w:after="120" w:afterAutospacing="0"/>
        <w:jc w:val="both"/>
        <w:rPr>
          <w:rFonts w:ascii="Arial" w:hAnsi="Arial" w:cs="Arial"/>
          <w:sz w:val="22"/>
          <w:szCs w:val="22"/>
        </w:rPr>
      </w:pPr>
      <w:hyperlink r:id="rId168" w:history="1">
        <w:r w:rsidRPr="005E7EB2">
          <w:rPr>
            <w:rStyle w:val="Hyperlink"/>
            <w:rFonts w:ascii="Arial" w:hAnsi="Arial" w:cs="Arial"/>
            <w:sz w:val="22"/>
            <w:szCs w:val="22"/>
          </w:rPr>
          <w:t>https://www.investor.gov/introduction-investing/investing-basics/what-risk</w:t>
        </w:r>
      </w:hyperlink>
    </w:p>
    <w:p w14:paraId="54B5AFF5" w14:textId="0247FEF9" w:rsidR="00FA1C1A" w:rsidRDefault="00FA1C1A">
      <w:pPr>
        <w:rPr>
          <w:rFonts w:eastAsia="Times New Roman" w:cs="Arial"/>
          <w:lang w:eastAsia="en-ZA"/>
        </w:rPr>
      </w:pPr>
      <w:r>
        <w:rPr>
          <w:rFonts w:cs="Arial"/>
        </w:rPr>
        <w:br w:type="page"/>
      </w:r>
    </w:p>
    <w:p w14:paraId="25AEE6A6" w14:textId="77777777" w:rsidR="00FA1C1A" w:rsidRPr="00FA1C1A" w:rsidRDefault="00FA1C1A" w:rsidP="00FA1C1A">
      <w:pPr>
        <w:spacing w:before="120" w:after="120"/>
        <w:jc w:val="both"/>
        <w:outlineLvl w:val="2"/>
        <w:rPr>
          <w:rFonts w:eastAsia="Times New Roman" w:cs="Arial"/>
          <w:b/>
          <w:bCs/>
          <w:lang w:eastAsia="en-ZA"/>
        </w:rPr>
      </w:pPr>
      <w:r w:rsidRPr="00FA1C1A">
        <w:rPr>
          <w:rFonts w:eastAsia="Times New Roman" w:cs="Arial"/>
          <w:b/>
          <w:bCs/>
          <w:lang w:eastAsia="en-ZA"/>
        </w:rPr>
        <w:lastRenderedPageBreak/>
        <w:t>Prudential Investment Managers</w:t>
      </w:r>
    </w:p>
    <w:p w14:paraId="41D3442C" w14:textId="77777777" w:rsidR="00FA1C1A" w:rsidRPr="00FA1C1A" w:rsidRDefault="00FA1C1A" w:rsidP="00FA1C1A">
      <w:pPr>
        <w:spacing w:before="120" w:after="120"/>
        <w:jc w:val="both"/>
        <w:rPr>
          <w:rFonts w:eastAsia="Times New Roman" w:cs="Arial"/>
          <w:lang w:eastAsia="en-ZA"/>
        </w:rPr>
      </w:pPr>
      <w:r w:rsidRPr="00FA1C1A">
        <w:rPr>
          <w:rFonts w:eastAsia="Times New Roman" w:cs="Arial"/>
          <w:lang w:eastAsia="en-ZA"/>
        </w:rPr>
        <w:t>Prudential Investment Managers</w:t>
      </w:r>
    </w:p>
    <w:p w14:paraId="60EB2BF7" w14:textId="77777777" w:rsidR="00FA1C1A" w:rsidRPr="00FA1C1A" w:rsidRDefault="00FA1C1A" w:rsidP="00FA1C1A">
      <w:pPr>
        <w:spacing w:before="120" w:after="120"/>
        <w:jc w:val="both"/>
        <w:rPr>
          <w:rFonts w:eastAsia="Times New Roman" w:cs="Arial"/>
          <w:lang w:eastAsia="en-ZA"/>
        </w:rPr>
      </w:pPr>
      <w:r w:rsidRPr="00FA1C1A">
        <w:rPr>
          <w:rFonts w:eastAsia="Times New Roman" w:cs="Arial"/>
          <w:lang w:eastAsia="en-ZA"/>
        </w:rPr>
        <w:t xml:space="preserve">August 2018 </w:t>
      </w:r>
    </w:p>
    <w:p w14:paraId="390296B8" w14:textId="77777777" w:rsidR="00FA1C1A" w:rsidRPr="00FA1C1A" w:rsidRDefault="00FA1C1A" w:rsidP="00FA1C1A">
      <w:pPr>
        <w:spacing w:before="120" w:after="120"/>
        <w:jc w:val="both"/>
        <w:outlineLvl w:val="0"/>
        <w:rPr>
          <w:rFonts w:eastAsia="Times New Roman" w:cs="Arial"/>
          <w:b/>
          <w:bCs/>
          <w:kern w:val="36"/>
          <w:lang w:eastAsia="en-ZA"/>
        </w:rPr>
      </w:pPr>
      <w:r w:rsidRPr="00FA1C1A">
        <w:rPr>
          <w:rFonts w:eastAsia="Times New Roman" w:cs="Arial"/>
          <w:b/>
          <w:bCs/>
          <w:kern w:val="36"/>
          <w:lang w:eastAsia="en-ZA"/>
        </w:rPr>
        <w:t>How much investment risk can you handle?</w:t>
      </w:r>
    </w:p>
    <w:p w14:paraId="335CF194" w14:textId="77777777" w:rsidR="00FA1C1A" w:rsidRPr="00FA1C1A" w:rsidRDefault="00FA1C1A" w:rsidP="00FA1C1A">
      <w:pPr>
        <w:spacing w:before="120" w:after="120"/>
        <w:jc w:val="both"/>
        <w:rPr>
          <w:rFonts w:eastAsia="Times New Roman" w:cs="Arial"/>
          <w:lang w:eastAsia="en-ZA"/>
        </w:rPr>
      </w:pPr>
      <w:r w:rsidRPr="00FA1C1A">
        <w:rPr>
          <w:rFonts w:eastAsia="Times New Roman" w:cs="Arial"/>
          <w:lang w:eastAsia="en-ZA"/>
        </w:rPr>
        <w:t>Risk is one of the most important concepts related to financial planning and investing. Unfortunately, it’s also one of the most misunderstood. Your investment decisions are determined, to a large extent, by your appetite for risk. But there’s a huge difference between your natural appetite for risky behaviour and your risk profile as an investor.</w:t>
      </w:r>
    </w:p>
    <w:p w14:paraId="0FAC815A" w14:textId="77777777" w:rsidR="00FA1C1A" w:rsidRPr="00FA1C1A" w:rsidRDefault="00FA1C1A" w:rsidP="00FA1C1A">
      <w:pPr>
        <w:spacing w:before="120" w:after="120"/>
        <w:jc w:val="both"/>
        <w:rPr>
          <w:rFonts w:eastAsia="Times New Roman" w:cs="Arial"/>
          <w:lang w:eastAsia="en-ZA"/>
        </w:rPr>
      </w:pPr>
      <w:r w:rsidRPr="00FA1C1A">
        <w:rPr>
          <w:rFonts w:eastAsia="Times New Roman" w:cs="Arial"/>
          <w:lang w:eastAsia="en-ZA"/>
        </w:rPr>
        <w:t>If you’re a naturally cautious person – someone, say, who avoids rollercoaster rides and who always checks the ‘best before’ date on their food – then you may feel naturally inclined take a highly cautious, risk-averse approach to your investments. Similarly, if you’re a bit of a daredevil – the type who goes skydiving on Saturdays and bungee-jumping on Sundays – then you may be tempted to take the leap into high-risk investments.</w:t>
      </w:r>
    </w:p>
    <w:p w14:paraId="67EB1137" w14:textId="77777777" w:rsidR="00FA1C1A" w:rsidRPr="00FA1C1A" w:rsidRDefault="00FA1C1A" w:rsidP="00FA1C1A">
      <w:pPr>
        <w:spacing w:before="120" w:after="120"/>
        <w:jc w:val="both"/>
        <w:rPr>
          <w:rFonts w:eastAsia="Times New Roman" w:cs="Arial"/>
          <w:lang w:eastAsia="en-ZA"/>
        </w:rPr>
      </w:pPr>
      <w:r w:rsidRPr="00FA1C1A">
        <w:rPr>
          <w:rFonts w:eastAsia="Times New Roman" w:cs="Arial"/>
          <w:lang w:eastAsia="en-ZA"/>
        </w:rPr>
        <w:t xml:space="preserve">Either way, you’d be making a mistake. Your investment decisions shouldn’t be based on your aversion towards risk in your everyday life. Savvy investors know how to separate their personality from their </w:t>
      </w:r>
      <w:hyperlink r:id="rId169" w:tgtFrame="_blank" w:history="1">
        <w:r w:rsidRPr="00FA1C1A">
          <w:rPr>
            <w:rFonts w:eastAsia="Times New Roman" w:cs="Arial"/>
            <w:color w:val="0000FF"/>
            <w:u w:val="single"/>
            <w:lang w:eastAsia="en-ZA"/>
          </w:rPr>
          <w:t>investment-risk profile</w:t>
        </w:r>
      </w:hyperlink>
      <w:r w:rsidRPr="00FA1C1A">
        <w:rPr>
          <w:rFonts w:eastAsia="Times New Roman" w:cs="Arial"/>
          <w:lang w:eastAsia="en-ZA"/>
        </w:rPr>
        <w:t xml:space="preserve">. The two, after all, should be mutually exclusive. </w:t>
      </w:r>
    </w:p>
    <w:p w14:paraId="40005BAC" w14:textId="77777777" w:rsidR="00FA1C1A" w:rsidRPr="00FA1C1A" w:rsidRDefault="00FA1C1A" w:rsidP="00FA1C1A">
      <w:pPr>
        <w:spacing w:before="120" w:after="120"/>
        <w:jc w:val="both"/>
        <w:rPr>
          <w:rFonts w:eastAsia="Times New Roman" w:cs="Arial"/>
          <w:lang w:eastAsia="en-ZA"/>
        </w:rPr>
      </w:pPr>
      <w:r w:rsidRPr="00FA1C1A">
        <w:rPr>
          <w:rFonts w:eastAsia="Times New Roman" w:cs="Arial"/>
          <w:lang w:eastAsia="en-ZA"/>
        </w:rPr>
        <w:t xml:space="preserve">Risk profiling is a crucial part of your financial planning process. Your financial adviser will help you to determine your risk profile by examining the amount of risk needed to achieve your </w:t>
      </w:r>
      <w:hyperlink r:id="rId170" w:tgtFrame="_blank" w:history="1">
        <w:r w:rsidRPr="00FA1C1A">
          <w:rPr>
            <w:rFonts w:eastAsia="Times New Roman" w:cs="Arial"/>
            <w:color w:val="0000FF"/>
            <w:u w:val="single"/>
            <w:lang w:eastAsia="en-ZA"/>
          </w:rPr>
          <w:t>investment goals</w:t>
        </w:r>
      </w:hyperlink>
      <w:r w:rsidRPr="00FA1C1A">
        <w:rPr>
          <w:rFonts w:eastAsia="Times New Roman" w:cs="Arial"/>
          <w:lang w:eastAsia="en-ZA"/>
        </w:rPr>
        <w:t>; how much risk you can afford to take; and your emotional willingness to take on risk.</w:t>
      </w:r>
    </w:p>
    <w:p w14:paraId="68C9B684" w14:textId="77777777" w:rsidR="00FA1C1A" w:rsidRPr="00FA1C1A" w:rsidRDefault="00FA1C1A" w:rsidP="00FA1C1A">
      <w:pPr>
        <w:spacing w:before="120" w:after="120"/>
        <w:jc w:val="both"/>
        <w:rPr>
          <w:rFonts w:eastAsia="Times New Roman" w:cs="Arial"/>
          <w:lang w:eastAsia="en-ZA"/>
        </w:rPr>
      </w:pPr>
      <w:r w:rsidRPr="00FA1C1A">
        <w:rPr>
          <w:rFonts w:eastAsia="Times New Roman" w:cs="Arial"/>
          <w:lang w:eastAsia="en-ZA"/>
        </w:rPr>
        <w:t>Other key factors that also play a role include your investment goals and your investment time frame (also referred to as your investment time horizon). Based on these criteria, your financial adviser will assess your tolerance for investment risk and then use that information to help you make your investment decisions and construct an appropriate portfolio.</w:t>
      </w:r>
    </w:p>
    <w:p w14:paraId="1D6BC869" w14:textId="77777777" w:rsidR="00FA1C1A" w:rsidRPr="00FA1C1A" w:rsidRDefault="00FA1C1A" w:rsidP="00FA1C1A">
      <w:pPr>
        <w:spacing w:before="120" w:after="120"/>
        <w:jc w:val="both"/>
        <w:rPr>
          <w:rFonts w:eastAsia="Times New Roman" w:cs="Arial"/>
          <w:lang w:eastAsia="en-ZA"/>
        </w:rPr>
      </w:pPr>
      <w:r w:rsidRPr="00FA1C1A">
        <w:rPr>
          <w:rFonts w:eastAsia="Times New Roman" w:cs="Arial"/>
          <w:lang w:eastAsia="en-ZA"/>
        </w:rPr>
        <w:t>Your investment risk profile might end up being:</w:t>
      </w:r>
    </w:p>
    <w:p w14:paraId="4AF4318C" w14:textId="77777777" w:rsidR="00FA1C1A" w:rsidRPr="00FA1C1A" w:rsidRDefault="00FA1C1A" w:rsidP="00FA1C1A">
      <w:pPr>
        <w:numPr>
          <w:ilvl w:val="0"/>
          <w:numId w:val="29"/>
        </w:numPr>
        <w:tabs>
          <w:tab w:val="clear" w:pos="720"/>
        </w:tabs>
        <w:spacing w:before="120" w:after="120"/>
        <w:ind w:left="397" w:hanging="284"/>
        <w:jc w:val="both"/>
        <w:rPr>
          <w:rFonts w:eastAsia="Times New Roman" w:cs="Arial"/>
          <w:lang w:eastAsia="en-ZA"/>
        </w:rPr>
      </w:pPr>
      <w:r w:rsidRPr="00FA1C1A">
        <w:rPr>
          <w:rFonts w:eastAsia="Times New Roman" w:cs="Arial"/>
          <w:lang w:eastAsia="en-ZA"/>
        </w:rPr>
        <w:t xml:space="preserve">Low – you’re only willing to accept minimal losses and may have a short-term investment time frame. </w:t>
      </w:r>
    </w:p>
    <w:p w14:paraId="151D93B1" w14:textId="77777777" w:rsidR="00FA1C1A" w:rsidRPr="00FA1C1A" w:rsidRDefault="00FA1C1A" w:rsidP="00FA1C1A">
      <w:pPr>
        <w:numPr>
          <w:ilvl w:val="0"/>
          <w:numId w:val="29"/>
        </w:numPr>
        <w:tabs>
          <w:tab w:val="clear" w:pos="720"/>
        </w:tabs>
        <w:spacing w:before="120" w:after="120"/>
        <w:ind w:left="397" w:hanging="284"/>
        <w:jc w:val="both"/>
        <w:rPr>
          <w:rFonts w:eastAsia="Times New Roman" w:cs="Arial"/>
          <w:lang w:eastAsia="en-ZA"/>
        </w:rPr>
      </w:pPr>
      <w:r w:rsidRPr="00FA1C1A">
        <w:rPr>
          <w:rFonts w:eastAsia="Times New Roman" w:cs="Arial"/>
          <w:lang w:eastAsia="en-ZA"/>
        </w:rPr>
        <w:t xml:space="preserve">Low to medium – you want reasonably stable growth and are willing to take on a limited level of risk. </w:t>
      </w:r>
    </w:p>
    <w:p w14:paraId="2AB799E2" w14:textId="77777777" w:rsidR="00FA1C1A" w:rsidRPr="00FA1C1A" w:rsidRDefault="00FA1C1A" w:rsidP="00FA1C1A">
      <w:pPr>
        <w:numPr>
          <w:ilvl w:val="0"/>
          <w:numId w:val="29"/>
        </w:numPr>
        <w:tabs>
          <w:tab w:val="clear" w:pos="720"/>
        </w:tabs>
        <w:spacing w:before="120" w:after="120"/>
        <w:ind w:left="397" w:hanging="284"/>
        <w:jc w:val="both"/>
        <w:rPr>
          <w:rFonts w:eastAsia="Times New Roman" w:cs="Arial"/>
          <w:lang w:eastAsia="en-ZA"/>
        </w:rPr>
      </w:pPr>
      <w:r w:rsidRPr="00FA1C1A">
        <w:rPr>
          <w:rFonts w:eastAsia="Times New Roman" w:cs="Arial"/>
          <w:lang w:eastAsia="en-ZA"/>
        </w:rPr>
        <w:t>Medium – you accept some volatility and are prepared to invest for five years or longer.</w:t>
      </w:r>
    </w:p>
    <w:p w14:paraId="60974FDC" w14:textId="77777777" w:rsidR="00FA1C1A" w:rsidRPr="00FA1C1A" w:rsidRDefault="00FA1C1A" w:rsidP="00FA1C1A">
      <w:pPr>
        <w:numPr>
          <w:ilvl w:val="0"/>
          <w:numId w:val="29"/>
        </w:numPr>
        <w:tabs>
          <w:tab w:val="clear" w:pos="720"/>
        </w:tabs>
        <w:spacing w:before="120" w:after="120"/>
        <w:ind w:left="397" w:hanging="284"/>
        <w:jc w:val="both"/>
        <w:rPr>
          <w:rFonts w:eastAsia="Times New Roman" w:cs="Arial"/>
          <w:lang w:eastAsia="en-ZA"/>
        </w:rPr>
      </w:pPr>
      <w:r w:rsidRPr="00FA1C1A">
        <w:rPr>
          <w:rFonts w:eastAsia="Times New Roman" w:cs="Arial"/>
          <w:lang w:eastAsia="en-ZA"/>
        </w:rPr>
        <w:t>Medium to high – you accept the risk/rewards trade-off, can live with volatility, and are looking to invest for up to 10 years).</w:t>
      </w:r>
    </w:p>
    <w:p w14:paraId="27DFA62E" w14:textId="30C7D1FE" w:rsidR="00FA1C1A" w:rsidRPr="00FA1C1A" w:rsidRDefault="00FA1C1A" w:rsidP="00FA1C1A">
      <w:pPr>
        <w:numPr>
          <w:ilvl w:val="0"/>
          <w:numId w:val="29"/>
        </w:numPr>
        <w:tabs>
          <w:tab w:val="clear" w:pos="720"/>
        </w:tabs>
        <w:spacing w:before="120" w:after="120"/>
        <w:ind w:left="397" w:hanging="284"/>
        <w:jc w:val="both"/>
        <w:rPr>
          <w:rFonts w:eastAsia="Times New Roman" w:cs="Arial"/>
          <w:lang w:eastAsia="en-ZA"/>
        </w:rPr>
      </w:pPr>
      <w:r w:rsidRPr="00FA1C1A">
        <w:rPr>
          <w:rFonts w:eastAsia="Times New Roman" w:cs="Arial"/>
          <w:lang w:eastAsia="en-ZA"/>
        </w:rPr>
        <w:t>High – your focus is on long-term capital growth</w:t>
      </w:r>
      <w:r>
        <w:rPr>
          <w:rFonts w:eastAsia="Times New Roman" w:cs="Arial"/>
          <w:lang w:eastAsia="en-ZA"/>
        </w:rPr>
        <w:t>,</w:t>
      </w:r>
      <w:r w:rsidRPr="00FA1C1A">
        <w:rPr>
          <w:rFonts w:eastAsia="Times New Roman" w:cs="Arial"/>
          <w:lang w:eastAsia="en-ZA"/>
        </w:rPr>
        <w:t xml:space="preserve"> and you’re willing to accept significant fluctuations in value, knowing that it might mean high returns in 10 or more years’ time.</w:t>
      </w:r>
    </w:p>
    <w:p w14:paraId="49F704D5" w14:textId="77777777" w:rsidR="00FA1C1A" w:rsidRPr="00FA1C1A" w:rsidRDefault="00FA1C1A" w:rsidP="00FA1C1A">
      <w:pPr>
        <w:spacing w:before="120" w:after="120"/>
        <w:jc w:val="both"/>
        <w:rPr>
          <w:rFonts w:eastAsia="Times New Roman" w:cs="Arial"/>
          <w:lang w:eastAsia="en-ZA"/>
        </w:rPr>
      </w:pPr>
      <w:r w:rsidRPr="00FA1C1A">
        <w:rPr>
          <w:rFonts w:eastAsia="Times New Roman" w:cs="Arial"/>
          <w:lang w:eastAsia="en-ZA"/>
        </w:rPr>
        <w:t xml:space="preserve">As you can see, your personality only plays a limited role determining your investment risk profile. The major factors are your time horizon, your access to cash, and your investment goal. And while you may worry (or not) about the level of investment risk you’re taking on, your natural inclination to go skydiving without a back-up parachute over a lake of flesh-eating piranhas (or not) is only a small part of the overall equation. </w:t>
      </w:r>
    </w:p>
    <w:p w14:paraId="24813C38" w14:textId="77777777" w:rsidR="00FA1C1A" w:rsidRPr="00FA1C1A" w:rsidRDefault="00FA1C1A" w:rsidP="00FA1C1A">
      <w:pPr>
        <w:spacing w:before="120" w:after="120"/>
        <w:jc w:val="both"/>
        <w:rPr>
          <w:rFonts w:eastAsia="Times New Roman" w:cs="Arial"/>
          <w:lang w:eastAsia="en-ZA"/>
        </w:rPr>
      </w:pPr>
      <w:r w:rsidRPr="00FA1C1A">
        <w:rPr>
          <w:rFonts w:eastAsia="Times New Roman" w:cs="Arial"/>
          <w:lang w:eastAsia="en-ZA"/>
        </w:rPr>
        <w:t xml:space="preserve">The bigger picture shows you why you would need to separate your individual personality traits from the risk characteristics of your investment portfolio.  Fortunately, Prudential has a </w:t>
      </w:r>
      <w:hyperlink r:id="rId171" w:tgtFrame="_blank" w:tooltip="Our Funds" w:history="1">
        <w:r w:rsidRPr="00FA1C1A">
          <w:rPr>
            <w:rFonts w:eastAsia="Times New Roman" w:cs="Arial"/>
            <w:color w:val="0000FF"/>
            <w:u w:val="single"/>
            <w:lang w:eastAsia="en-ZA"/>
          </w:rPr>
          <w:t>range of funds</w:t>
        </w:r>
      </w:hyperlink>
      <w:r w:rsidRPr="00FA1C1A">
        <w:rPr>
          <w:rFonts w:eastAsia="Times New Roman" w:cs="Arial"/>
          <w:lang w:eastAsia="en-ZA"/>
        </w:rPr>
        <w:t xml:space="preserve"> to choose from, each with their own risk profile and investment time horizon. Try our </w:t>
      </w:r>
      <w:hyperlink r:id="rId172" w:tgtFrame="_blank" w:tooltip="Fund Selector" w:history="1">
        <w:r w:rsidRPr="00FA1C1A">
          <w:rPr>
            <w:rFonts w:eastAsia="Times New Roman" w:cs="Arial"/>
            <w:color w:val="0000FF"/>
            <w:u w:val="single"/>
            <w:lang w:eastAsia="en-ZA"/>
          </w:rPr>
          <w:t>Fund Selector</w:t>
        </w:r>
      </w:hyperlink>
      <w:r w:rsidRPr="00FA1C1A">
        <w:rPr>
          <w:rFonts w:eastAsia="Times New Roman" w:cs="Arial"/>
          <w:lang w:eastAsia="en-ZA"/>
        </w:rPr>
        <w:t xml:space="preserve"> tool to see which Prudential fund best matches your investment objective.</w:t>
      </w:r>
    </w:p>
    <w:p w14:paraId="0CEFE5D9" w14:textId="7CCFD250" w:rsidR="00FA1C1A" w:rsidRDefault="00FA1C1A" w:rsidP="00FA1C1A">
      <w:pPr>
        <w:spacing w:before="120" w:after="120"/>
        <w:jc w:val="both"/>
        <w:rPr>
          <w:rFonts w:eastAsia="Times New Roman" w:cs="Arial"/>
          <w:lang w:eastAsia="en-ZA"/>
        </w:rPr>
      </w:pPr>
      <w:r w:rsidRPr="00FA1C1A">
        <w:rPr>
          <w:rFonts w:eastAsia="Times New Roman" w:cs="Arial"/>
          <w:lang w:eastAsia="en-ZA"/>
        </w:rPr>
        <w:t xml:space="preserve">For more information speak to your financial adviser. Alternatively, feel free to contact our Client Services Team on 0860 105 775 or email us at </w:t>
      </w:r>
      <w:hyperlink r:id="rId173" w:tgtFrame="_blank" w:history="1">
        <w:r w:rsidRPr="00FA1C1A">
          <w:rPr>
            <w:rFonts w:eastAsia="Times New Roman" w:cs="Arial"/>
            <w:color w:val="0000FF"/>
            <w:u w:val="single"/>
            <w:lang w:eastAsia="en-ZA"/>
          </w:rPr>
          <w:t>query@prudential.co.za</w:t>
        </w:r>
      </w:hyperlink>
      <w:r w:rsidRPr="00FA1C1A">
        <w:rPr>
          <w:rFonts w:eastAsia="Times New Roman" w:cs="Arial"/>
          <w:lang w:eastAsia="en-ZA"/>
        </w:rPr>
        <w:t>.</w:t>
      </w:r>
    </w:p>
    <w:p w14:paraId="4BC44D7C" w14:textId="0889D258" w:rsidR="00FA1C1A" w:rsidRDefault="00FA1C1A" w:rsidP="00FA1C1A">
      <w:pPr>
        <w:spacing w:before="120" w:after="120"/>
        <w:jc w:val="both"/>
        <w:rPr>
          <w:rFonts w:eastAsia="Times New Roman" w:cs="Arial"/>
          <w:lang w:eastAsia="en-ZA"/>
        </w:rPr>
      </w:pPr>
      <w:r w:rsidRPr="00FA1C1A">
        <w:rPr>
          <w:rFonts w:eastAsia="Times New Roman" w:cs="Arial"/>
          <w:lang w:eastAsia="en-ZA"/>
        </w:rPr>
        <w:t>https://www.mandg.co.za/insights/articlesreleases/how-much-investment-risk-can-you-handle/</w:t>
      </w:r>
    </w:p>
    <w:p w14:paraId="68DDC9DE" w14:textId="77777777" w:rsidR="00FA1C1A" w:rsidRPr="00FA1C1A" w:rsidRDefault="00FA1C1A" w:rsidP="00FA1C1A">
      <w:pPr>
        <w:spacing w:before="120" w:after="120"/>
        <w:jc w:val="both"/>
        <w:outlineLvl w:val="0"/>
        <w:rPr>
          <w:rFonts w:eastAsia="Times New Roman" w:cs="Arial"/>
          <w:b/>
          <w:bCs/>
          <w:kern w:val="36"/>
          <w:sz w:val="28"/>
          <w:szCs w:val="28"/>
          <w:lang w:eastAsia="en-ZA"/>
        </w:rPr>
      </w:pPr>
      <w:r w:rsidRPr="00FA1C1A">
        <w:rPr>
          <w:rFonts w:eastAsia="Times New Roman" w:cs="Arial"/>
          <w:b/>
          <w:bCs/>
          <w:kern w:val="36"/>
          <w:sz w:val="28"/>
          <w:szCs w:val="28"/>
          <w:lang w:eastAsia="en-ZA"/>
        </w:rPr>
        <w:lastRenderedPageBreak/>
        <w:t>South Africa’s FTSE/JSE All-Share Index Returns By Year</w:t>
      </w:r>
    </w:p>
    <w:p w14:paraId="1F964728" w14:textId="77777777" w:rsidR="00FA1C1A" w:rsidRPr="00FA1C1A" w:rsidRDefault="00FA1C1A" w:rsidP="00FA1C1A">
      <w:pPr>
        <w:spacing w:before="120" w:after="120"/>
        <w:jc w:val="both"/>
        <w:rPr>
          <w:rFonts w:eastAsia="Times New Roman" w:cs="Arial"/>
          <w:lang w:eastAsia="en-ZA"/>
        </w:rPr>
      </w:pPr>
      <w:r w:rsidRPr="00FA1C1A">
        <w:rPr>
          <w:rFonts w:eastAsia="Times New Roman" w:cs="Arial"/>
          <w:lang w:eastAsia="en-ZA"/>
        </w:rPr>
        <w:t xml:space="preserve">Posted by </w:t>
      </w:r>
      <w:hyperlink r:id="rId174" w:tooltip="View all posts by David Hunkar" w:history="1">
        <w:r w:rsidRPr="00FA1C1A">
          <w:rPr>
            <w:rFonts w:eastAsia="Times New Roman" w:cs="Arial"/>
            <w:color w:val="0000FF"/>
            <w:u w:val="single"/>
            <w:lang w:eastAsia="en-ZA"/>
          </w:rPr>
          <w:t>David Hunkar</w:t>
        </w:r>
      </w:hyperlink>
      <w:r w:rsidRPr="00FA1C1A">
        <w:rPr>
          <w:rFonts w:eastAsia="Times New Roman" w:cs="Arial"/>
          <w:lang w:eastAsia="en-ZA"/>
        </w:rPr>
        <w:t xml:space="preserve"> on </w:t>
      </w:r>
      <w:hyperlink r:id="rId175" w:history="1">
        <w:r w:rsidRPr="00FA1C1A">
          <w:rPr>
            <w:rFonts w:eastAsia="Times New Roman" w:cs="Arial"/>
            <w:color w:val="0000FF"/>
            <w:u w:val="single"/>
            <w:lang w:eastAsia="en-ZA"/>
          </w:rPr>
          <w:t>8 January 2014, 4:21 am</w:t>
        </w:r>
      </w:hyperlink>
      <w:r w:rsidRPr="00FA1C1A">
        <w:rPr>
          <w:rFonts w:eastAsia="Times New Roman" w:cs="Arial"/>
          <w:lang w:eastAsia="en-ZA"/>
        </w:rPr>
        <w:t xml:space="preserve"> </w:t>
      </w:r>
    </w:p>
    <w:p w14:paraId="63348685" w14:textId="77777777" w:rsidR="00FA1C1A" w:rsidRPr="00FA1C1A" w:rsidRDefault="00FA1C1A" w:rsidP="00FA1C1A">
      <w:pPr>
        <w:spacing w:before="120" w:after="120"/>
        <w:jc w:val="both"/>
        <w:rPr>
          <w:rFonts w:eastAsia="Times New Roman" w:cs="Arial"/>
          <w:lang w:eastAsia="en-ZA"/>
        </w:rPr>
      </w:pPr>
      <w:r w:rsidRPr="00FA1C1A">
        <w:rPr>
          <w:rFonts w:eastAsia="Times New Roman" w:cs="Arial"/>
          <w:b/>
          <w:bCs/>
          <w:lang w:eastAsia="en-ZA"/>
        </w:rPr>
        <w:t>Page Updated:</w:t>
      </w:r>
      <w:r w:rsidRPr="00FA1C1A">
        <w:rPr>
          <w:rFonts w:eastAsia="Times New Roman" w:cs="Arial"/>
          <w:lang w:eastAsia="en-ZA"/>
        </w:rPr>
        <w:t> Mar 31, 2018</w:t>
      </w:r>
    </w:p>
    <w:p w14:paraId="711996F9" w14:textId="77777777" w:rsidR="00FA1C1A" w:rsidRPr="00FA1C1A" w:rsidRDefault="00FA1C1A" w:rsidP="00FA1C1A">
      <w:pPr>
        <w:spacing w:before="120" w:after="120"/>
        <w:jc w:val="both"/>
        <w:rPr>
          <w:rFonts w:eastAsia="Times New Roman" w:cs="Arial"/>
          <w:lang w:eastAsia="en-ZA"/>
        </w:rPr>
      </w:pPr>
      <w:r w:rsidRPr="00FA1C1A">
        <w:rPr>
          <w:rFonts w:eastAsia="Times New Roman" w:cs="Arial"/>
          <w:lang w:eastAsia="en-ZA"/>
        </w:rPr>
        <w:t>The </w:t>
      </w:r>
      <w:hyperlink r:id="rId176" w:tgtFrame="_blank" w:history="1">
        <w:r w:rsidRPr="00FA1C1A">
          <w:rPr>
            <w:rFonts w:eastAsia="Times New Roman" w:cs="Arial"/>
            <w:color w:val="0000FF"/>
            <w:u w:val="single"/>
            <w:lang w:eastAsia="en-ZA"/>
          </w:rPr>
          <w:t>FTSE/JSE All-Share Index</w:t>
        </w:r>
      </w:hyperlink>
      <w:r w:rsidRPr="00FA1C1A">
        <w:rPr>
          <w:rFonts w:eastAsia="Times New Roman" w:cs="Arial"/>
          <w:lang w:eastAsia="en-ZA"/>
        </w:rPr>
        <w:t xml:space="preserve"> is the leading benchmark of the South African equity market. It contains 165 companies listed on the Johannesburg Stock Exchange (JSE) based on market capitalization.  The dividend yield of the index as of Dec 31, 2013 was 2.72%.</w:t>
      </w:r>
    </w:p>
    <w:p w14:paraId="7DC1B58E" w14:textId="77777777" w:rsidR="00FA1C1A" w:rsidRPr="00FA1C1A" w:rsidRDefault="00FA1C1A" w:rsidP="00FA1C1A">
      <w:pPr>
        <w:spacing w:before="120" w:after="120"/>
        <w:jc w:val="both"/>
        <w:rPr>
          <w:rFonts w:eastAsia="Times New Roman" w:cs="Arial"/>
          <w:lang w:eastAsia="en-ZA"/>
        </w:rPr>
      </w:pPr>
      <w:r w:rsidRPr="00FA1C1A">
        <w:rPr>
          <w:rFonts w:eastAsia="Times New Roman" w:cs="Arial"/>
          <w:b/>
          <w:bCs/>
          <w:lang w:eastAsia="en-ZA"/>
        </w:rPr>
        <w:t>The Top 10 Holdings and the weights in the index at the end of 2013 are shown below:</w:t>
      </w:r>
    </w:p>
    <w:p w14:paraId="0B5F0665" w14:textId="77777777" w:rsidR="00FA1C1A" w:rsidRPr="00FA1C1A" w:rsidRDefault="00FA1C1A" w:rsidP="00FA1C1A">
      <w:pPr>
        <w:spacing w:before="120" w:after="120"/>
        <w:jc w:val="both"/>
        <w:rPr>
          <w:rFonts w:eastAsia="Times New Roman" w:cs="Arial"/>
          <w:lang w:eastAsia="en-ZA"/>
        </w:rPr>
      </w:pPr>
      <w:r w:rsidRPr="00FA1C1A">
        <w:rPr>
          <w:rFonts w:eastAsia="Times New Roman" w:cs="Arial"/>
          <w:i/>
          <w:iCs/>
          <w:lang w:eastAsia="en-ZA"/>
        </w:rPr>
        <w:t>Click to enlarge</w:t>
      </w:r>
    </w:p>
    <w:p w14:paraId="57850344" w14:textId="77777777" w:rsidR="00FA1C1A" w:rsidRPr="00FA1C1A" w:rsidRDefault="00FA1C1A" w:rsidP="00FA1C1A">
      <w:pPr>
        <w:spacing w:before="120" w:after="120"/>
        <w:jc w:val="both"/>
        <w:rPr>
          <w:rFonts w:eastAsia="Times New Roman" w:cs="Arial"/>
          <w:lang w:eastAsia="en-ZA"/>
        </w:rPr>
      </w:pPr>
      <w:r w:rsidRPr="00FA1C1A">
        <w:rPr>
          <w:rFonts w:eastAsia="Times New Roman" w:cs="Arial"/>
          <w:noProof/>
          <w:color w:val="0000FF"/>
          <w:lang w:eastAsia="en-ZA"/>
        </w:rPr>
        <w:drawing>
          <wp:inline distT="0" distB="0" distL="0" distR="0" wp14:anchorId="62728CC3" wp14:editId="5F8F0FA5">
            <wp:extent cx="4335780" cy="2362200"/>
            <wp:effectExtent l="0" t="0" r="7620" b="0"/>
            <wp:docPr id="36" name="Picture 36" descr="FTSE-JSE-All-Share-Index-Top-10-Components">
              <a:hlinkClick xmlns:a="http://schemas.openxmlformats.org/drawingml/2006/main" r:id="rId17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TSE-JSE-All-Share-Index-Top-10-Components">
                      <a:hlinkClick r:id="rId177"/>
                    </pic:cNvPr>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4335780" cy="2362200"/>
                    </a:xfrm>
                    <a:prstGeom prst="rect">
                      <a:avLst/>
                    </a:prstGeom>
                    <a:noFill/>
                    <a:ln>
                      <a:noFill/>
                    </a:ln>
                  </pic:spPr>
                </pic:pic>
              </a:graphicData>
            </a:graphic>
          </wp:inline>
        </w:drawing>
      </w:r>
    </w:p>
    <w:p w14:paraId="24DB38D9" w14:textId="77777777" w:rsidR="00FA1C1A" w:rsidRPr="00FA1C1A" w:rsidRDefault="00FA1C1A" w:rsidP="00FA1C1A">
      <w:pPr>
        <w:spacing w:before="120" w:after="120"/>
        <w:jc w:val="both"/>
        <w:rPr>
          <w:rFonts w:eastAsia="Times New Roman" w:cs="Arial"/>
          <w:lang w:eastAsia="en-ZA"/>
        </w:rPr>
      </w:pPr>
      <w:r w:rsidRPr="00FA1C1A">
        <w:rPr>
          <w:rFonts w:eastAsia="Times New Roman" w:cs="Arial"/>
          <w:lang w:eastAsia="en-ZA"/>
        </w:rPr>
        <w:t xml:space="preserve">Source: </w:t>
      </w:r>
      <w:hyperlink r:id="rId179" w:tgtFrame="_blank" w:history="1">
        <w:r w:rsidRPr="00FA1C1A">
          <w:rPr>
            <w:rFonts w:eastAsia="Times New Roman" w:cs="Arial"/>
            <w:color w:val="0000FF"/>
            <w:u w:val="single"/>
            <w:lang w:eastAsia="en-ZA"/>
          </w:rPr>
          <w:t>FTSE</w:t>
        </w:r>
      </w:hyperlink>
    </w:p>
    <w:p w14:paraId="09209AF4" w14:textId="77777777" w:rsidR="00FA1C1A" w:rsidRPr="00FA1C1A" w:rsidRDefault="00FA1C1A" w:rsidP="00FA1C1A">
      <w:pPr>
        <w:spacing w:before="120" w:after="120"/>
        <w:jc w:val="both"/>
        <w:rPr>
          <w:rFonts w:eastAsia="Times New Roman" w:cs="Arial"/>
          <w:lang w:eastAsia="en-ZA"/>
        </w:rPr>
      </w:pPr>
      <w:r w:rsidRPr="00FA1C1A">
        <w:rPr>
          <w:rFonts w:eastAsia="Times New Roman" w:cs="Arial"/>
          <w:b/>
          <w:bCs/>
          <w:lang w:eastAsia="en-ZA"/>
        </w:rPr>
        <w:t>The FTSE/JSE All-Share Index Returns By Year from 1974 thru 2017 are shown in the chart below:</w:t>
      </w:r>
    </w:p>
    <w:p w14:paraId="42E52602" w14:textId="77777777" w:rsidR="00FA1C1A" w:rsidRPr="00FA1C1A" w:rsidRDefault="00FA1C1A" w:rsidP="00FA1C1A">
      <w:pPr>
        <w:spacing w:before="120" w:after="120"/>
        <w:jc w:val="both"/>
        <w:rPr>
          <w:rFonts w:eastAsia="Times New Roman" w:cs="Arial"/>
          <w:lang w:eastAsia="en-ZA"/>
        </w:rPr>
      </w:pPr>
      <w:r w:rsidRPr="00FA1C1A">
        <w:rPr>
          <w:rFonts w:eastAsia="Times New Roman" w:cs="Arial"/>
          <w:i/>
          <w:iCs/>
          <w:lang w:eastAsia="en-ZA"/>
        </w:rPr>
        <w:t>Click to enlarge</w:t>
      </w:r>
    </w:p>
    <w:p w14:paraId="6BEFEA5F" w14:textId="77777777" w:rsidR="00FA1C1A" w:rsidRPr="00FA1C1A" w:rsidRDefault="00FA1C1A" w:rsidP="00FA1C1A">
      <w:pPr>
        <w:spacing w:before="120" w:after="120"/>
        <w:jc w:val="both"/>
        <w:rPr>
          <w:rFonts w:eastAsia="Times New Roman" w:cs="Arial"/>
          <w:lang w:eastAsia="en-ZA"/>
        </w:rPr>
      </w:pPr>
      <w:r w:rsidRPr="00FA1C1A">
        <w:rPr>
          <w:rFonts w:eastAsia="Times New Roman" w:cs="Arial"/>
          <w:noProof/>
          <w:color w:val="0000FF"/>
          <w:lang w:eastAsia="en-ZA"/>
        </w:rPr>
        <w:drawing>
          <wp:inline distT="0" distB="0" distL="0" distR="0" wp14:anchorId="0E5821FC" wp14:editId="0C7E5905">
            <wp:extent cx="5729913" cy="3794760"/>
            <wp:effectExtent l="0" t="0" r="4445" b="0"/>
            <wp:docPr id="37" name="Picture 37">
              <a:hlinkClick xmlns:a="http://schemas.openxmlformats.org/drawingml/2006/main" r:id="rId18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a:hlinkClick r:id="rId180"/>
                    </pic:cNvPr>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bwMode="auto">
                    <a:xfrm>
                      <a:off x="0" y="0"/>
                      <a:ext cx="5753067" cy="3810094"/>
                    </a:xfrm>
                    <a:prstGeom prst="rect">
                      <a:avLst/>
                    </a:prstGeom>
                    <a:noFill/>
                    <a:ln>
                      <a:noFill/>
                    </a:ln>
                  </pic:spPr>
                </pic:pic>
              </a:graphicData>
            </a:graphic>
          </wp:inline>
        </w:drawing>
      </w:r>
    </w:p>
    <w:p w14:paraId="6DFF41EF" w14:textId="77777777" w:rsidR="00FA1C1A" w:rsidRPr="00FA1C1A" w:rsidRDefault="00FA1C1A" w:rsidP="00FA1C1A">
      <w:pPr>
        <w:spacing w:before="120" w:after="120"/>
        <w:jc w:val="both"/>
        <w:rPr>
          <w:rFonts w:eastAsia="Times New Roman" w:cs="Arial"/>
          <w:lang w:eastAsia="en-ZA"/>
        </w:rPr>
      </w:pPr>
      <w:r w:rsidRPr="00FA1C1A">
        <w:rPr>
          <w:rFonts w:eastAsia="Times New Roman" w:cs="Arial"/>
          <w:b/>
          <w:bCs/>
          <w:lang w:eastAsia="en-ZA"/>
        </w:rPr>
        <w:lastRenderedPageBreak/>
        <w:t>The table below lists the FTSE/JSE All-Share Index Returns By Year from 1974 thru 2016:</w:t>
      </w:r>
    </w:p>
    <w:p w14:paraId="74915EBD" w14:textId="77777777" w:rsidR="00FA1C1A" w:rsidRPr="00FA1C1A" w:rsidRDefault="00FA1C1A" w:rsidP="00FA1C1A">
      <w:pPr>
        <w:spacing w:before="120" w:after="120"/>
        <w:jc w:val="both"/>
        <w:rPr>
          <w:rFonts w:eastAsia="Times New Roman" w:cs="Arial"/>
          <w:lang w:eastAsia="en-ZA"/>
        </w:rPr>
      </w:pPr>
      <w:r w:rsidRPr="00FA1C1A">
        <w:rPr>
          <w:rFonts w:eastAsia="Times New Roman" w:cs="Arial"/>
          <w:lang w:eastAsia="en-ZA"/>
        </w:rPr>
        <w:t xml:space="preserve">Show </w:t>
      </w:r>
    </w:p>
    <w:p w14:paraId="07EC6EAD" w14:textId="77777777" w:rsidR="00FA1C1A" w:rsidRPr="00FA1C1A" w:rsidRDefault="00FA1C1A" w:rsidP="00FA1C1A">
      <w:pPr>
        <w:spacing w:before="120" w:after="120"/>
        <w:jc w:val="both"/>
        <w:rPr>
          <w:rFonts w:eastAsia="Times New Roman" w:cs="Arial"/>
          <w:lang w:eastAsia="en-ZA"/>
        </w:rPr>
      </w:pPr>
      <w:r w:rsidRPr="00FA1C1A">
        <w:rPr>
          <w:rFonts w:eastAsia="Times New Roman" w:cs="Arial"/>
          <w:lang w:eastAsia="en-ZA"/>
        </w:rPr>
        <w:t>entries</w:t>
      </w:r>
    </w:p>
    <w:p w14:paraId="145E99A0" w14:textId="77777777" w:rsidR="00FA1C1A" w:rsidRPr="00FA1C1A" w:rsidRDefault="00FA1C1A" w:rsidP="00FA1C1A">
      <w:pPr>
        <w:spacing w:before="120" w:after="120"/>
        <w:jc w:val="both"/>
        <w:rPr>
          <w:rFonts w:eastAsia="Times New Roman" w:cs="Arial"/>
          <w:lang w:eastAsia="en-ZA"/>
        </w:rPr>
      </w:pPr>
      <w:r w:rsidRPr="00FA1C1A">
        <w:rPr>
          <w:rFonts w:eastAsia="Times New Roman" w:cs="Arial"/>
          <w:lang w:eastAsia="en-ZA"/>
        </w:rPr>
        <w:t>Search:</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1818"/>
        <w:gridCol w:w="7208"/>
      </w:tblGrid>
      <w:tr w:rsidR="00FA1C1A" w:rsidRPr="00FA1C1A" w14:paraId="7CFDCC24" w14:textId="77777777" w:rsidTr="00FA1C1A">
        <w:trPr>
          <w:tblHeader/>
          <w:tblCellSpacing w:w="15" w:type="dxa"/>
        </w:trPr>
        <w:tc>
          <w:tcPr>
            <w:tcW w:w="1965" w:type="dxa"/>
            <w:vAlign w:val="center"/>
            <w:hideMark/>
          </w:tcPr>
          <w:p w14:paraId="0C383A23" w14:textId="77777777" w:rsidR="00FA1C1A" w:rsidRPr="00FA1C1A" w:rsidRDefault="00FA1C1A" w:rsidP="00FA1C1A">
            <w:pPr>
              <w:spacing w:before="120" w:after="120"/>
              <w:jc w:val="both"/>
              <w:rPr>
                <w:rFonts w:eastAsia="Times New Roman" w:cs="Arial"/>
                <w:b/>
                <w:bCs/>
                <w:lang w:eastAsia="en-ZA"/>
              </w:rPr>
            </w:pPr>
            <w:r w:rsidRPr="00FA1C1A">
              <w:rPr>
                <w:rFonts w:eastAsia="Times New Roman" w:cs="Arial"/>
                <w:b/>
                <w:bCs/>
                <w:lang w:eastAsia="en-ZA"/>
              </w:rPr>
              <w:t>Year</w:t>
            </w:r>
          </w:p>
        </w:tc>
        <w:tc>
          <w:tcPr>
            <w:tcW w:w="8145" w:type="dxa"/>
            <w:vAlign w:val="center"/>
            <w:hideMark/>
          </w:tcPr>
          <w:p w14:paraId="641B0E3B" w14:textId="77777777" w:rsidR="00FA1C1A" w:rsidRPr="00FA1C1A" w:rsidRDefault="00FA1C1A" w:rsidP="00FA1C1A">
            <w:pPr>
              <w:spacing w:before="120" w:after="120"/>
              <w:jc w:val="both"/>
              <w:rPr>
                <w:rFonts w:eastAsia="Times New Roman" w:cs="Arial"/>
                <w:b/>
                <w:bCs/>
                <w:lang w:eastAsia="en-ZA"/>
              </w:rPr>
            </w:pPr>
            <w:r w:rsidRPr="00FA1C1A">
              <w:rPr>
                <w:rFonts w:eastAsia="Times New Roman" w:cs="Arial"/>
                <w:b/>
                <w:bCs/>
                <w:lang w:eastAsia="en-ZA"/>
              </w:rPr>
              <w:t>JSE All Share Index Return</w:t>
            </w:r>
          </w:p>
        </w:tc>
      </w:tr>
      <w:tr w:rsidR="00FA1C1A" w:rsidRPr="00FA1C1A" w14:paraId="67E60D04" w14:textId="77777777" w:rsidTr="00FA1C1A">
        <w:trPr>
          <w:tblCellSpacing w:w="15" w:type="dxa"/>
        </w:trPr>
        <w:tc>
          <w:tcPr>
            <w:tcW w:w="0" w:type="auto"/>
            <w:vAlign w:val="center"/>
            <w:hideMark/>
          </w:tcPr>
          <w:p w14:paraId="2F8D71B2" w14:textId="77777777" w:rsidR="00FA1C1A" w:rsidRPr="00FA1C1A" w:rsidRDefault="00FA1C1A" w:rsidP="00FA1C1A">
            <w:pPr>
              <w:spacing w:before="120" w:after="120"/>
              <w:jc w:val="both"/>
              <w:rPr>
                <w:rFonts w:eastAsia="Times New Roman" w:cs="Arial"/>
                <w:lang w:eastAsia="en-ZA"/>
              </w:rPr>
            </w:pPr>
            <w:r w:rsidRPr="00FA1C1A">
              <w:rPr>
                <w:rFonts w:eastAsia="Times New Roman" w:cs="Arial"/>
                <w:lang w:eastAsia="en-ZA"/>
              </w:rPr>
              <w:t>1974</w:t>
            </w:r>
          </w:p>
        </w:tc>
        <w:tc>
          <w:tcPr>
            <w:tcW w:w="0" w:type="auto"/>
            <w:vAlign w:val="center"/>
            <w:hideMark/>
          </w:tcPr>
          <w:p w14:paraId="604F93CD" w14:textId="77777777" w:rsidR="00FA1C1A" w:rsidRPr="00FA1C1A" w:rsidRDefault="00FA1C1A" w:rsidP="00FA1C1A">
            <w:pPr>
              <w:spacing w:before="120" w:after="120"/>
              <w:jc w:val="both"/>
              <w:rPr>
                <w:rFonts w:eastAsia="Times New Roman" w:cs="Arial"/>
                <w:lang w:eastAsia="en-ZA"/>
              </w:rPr>
            </w:pPr>
            <w:r w:rsidRPr="00FA1C1A">
              <w:rPr>
                <w:rFonts w:eastAsia="Times New Roman" w:cs="Arial"/>
                <w:lang w:eastAsia="en-ZA"/>
              </w:rPr>
              <w:t>-0.8%</w:t>
            </w:r>
          </w:p>
        </w:tc>
      </w:tr>
      <w:tr w:rsidR="00FA1C1A" w:rsidRPr="00FA1C1A" w14:paraId="28C7FF7E" w14:textId="77777777" w:rsidTr="00FA1C1A">
        <w:trPr>
          <w:tblCellSpacing w:w="15" w:type="dxa"/>
        </w:trPr>
        <w:tc>
          <w:tcPr>
            <w:tcW w:w="0" w:type="auto"/>
            <w:vAlign w:val="center"/>
            <w:hideMark/>
          </w:tcPr>
          <w:p w14:paraId="7F8E41B8" w14:textId="77777777" w:rsidR="00FA1C1A" w:rsidRPr="00FA1C1A" w:rsidRDefault="00FA1C1A" w:rsidP="00FA1C1A">
            <w:pPr>
              <w:spacing w:before="120" w:after="120"/>
              <w:jc w:val="both"/>
              <w:rPr>
                <w:rFonts w:eastAsia="Times New Roman" w:cs="Arial"/>
                <w:lang w:eastAsia="en-ZA"/>
              </w:rPr>
            </w:pPr>
            <w:r w:rsidRPr="00FA1C1A">
              <w:rPr>
                <w:rFonts w:eastAsia="Times New Roman" w:cs="Arial"/>
                <w:lang w:eastAsia="en-ZA"/>
              </w:rPr>
              <w:t>1975</w:t>
            </w:r>
          </w:p>
        </w:tc>
        <w:tc>
          <w:tcPr>
            <w:tcW w:w="0" w:type="auto"/>
            <w:vAlign w:val="center"/>
            <w:hideMark/>
          </w:tcPr>
          <w:p w14:paraId="0F7C25EF" w14:textId="77777777" w:rsidR="00FA1C1A" w:rsidRPr="00FA1C1A" w:rsidRDefault="00FA1C1A" w:rsidP="00FA1C1A">
            <w:pPr>
              <w:spacing w:before="120" w:after="120"/>
              <w:jc w:val="both"/>
              <w:rPr>
                <w:rFonts w:eastAsia="Times New Roman" w:cs="Arial"/>
                <w:lang w:eastAsia="en-ZA"/>
              </w:rPr>
            </w:pPr>
            <w:r w:rsidRPr="00FA1C1A">
              <w:rPr>
                <w:rFonts w:eastAsia="Times New Roman" w:cs="Arial"/>
                <w:lang w:eastAsia="en-ZA"/>
              </w:rPr>
              <w:t>-18.9%</w:t>
            </w:r>
          </w:p>
        </w:tc>
      </w:tr>
      <w:tr w:rsidR="00FA1C1A" w:rsidRPr="00FA1C1A" w14:paraId="64BAC9AE" w14:textId="77777777" w:rsidTr="00FA1C1A">
        <w:trPr>
          <w:tblCellSpacing w:w="15" w:type="dxa"/>
        </w:trPr>
        <w:tc>
          <w:tcPr>
            <w:tcW w:w="0" w:type="auto"/>
            <w:vAlign w:val="center"/>
            <w:hideMark/>
          </w:tcPr>
          <w:p w14:paraId="1BA14B0F" w14:textId="77777777" w:rsidR="00FA1C1A" w:rsidRPr="00FA1C1A" w:rsidRDefault="00FA1C1A" w:rsidP="00FA1C1A">
            <w:pPr>
              <w:spacing w:before="120" w:after="120"/>
              <w:jc w:val="both"/>
              <w:rPr>
                <w:rFonts w:eastAsia="Times New Roman" w:cs="Arial"/>
                <w:lang w:eastAsia="en-ZA"/>
              </w:rPr>
            </w:pPr>
            <w:r w:rsidRPr="00FA1C1A">
              <w:rPr>
                <w:rFonts w:eastAsia="Times New Roman" w:cs="Arial"/>
                <w:lang w:eastAsia="en-ZA"/>
              </w:rPr>
              <w:t>1976</w:t>
            </w:r>
          </w:p>
        </w:tc>
        <w:tc>
          <w:tcPr>
            <w:tcW w:w="0" w:type="auto"/>
            <w:vAlign w:val="center"/>
            <w:hideMark/>
          </w:tcPr>
          <w:p w14:paraId="15C94077" w14:textId="77777777" w:rsidR="00FA1C1A" w:rsidRPr="00FA1C1A" w:rsidRDefault="00FA1C1A" w:rsidP="00FA1C1A">
            <w:pPr>
              <w:spacing w:before="120" w:after="120"/>
              <w:jc w:val="both"/>
              <w:rPr>
                <w:rFonts w:eastAsia="Times New Roman" w:cs="Arial"/>
                <w:lang w:eastAsia="en-ZA"/>
              </w:rPr>
            </w:pPr>
            <w:r w:rsidRPr="00FA1C1A">
              <w:rPr>
                <w:rFonts w:eastAsia="Times New Roman" w:cs="Arial"/>
                <w:lang w:eastAsia="en-ZA"/>
              </w:rPr>
              <w:t>-10.9%</w:t>
            </w:r>
          </w:p>
        </w:tc>
      </w:tr>
      <w:tr w:rsidR="00FA1C1A" w:rsidRPr="00FA1C1A" w14:paraId="4EAFA1EC" w14:textId="77777777" w:rsidTr="00FA1C1A">
        <w:trPr>
          <w:tblCellSpacing w:w="15" w:type="dxa"/>
        </w:trPr>
        <w:tc>
          <w:tcPr>
            <w:tcW w:w="0" w:type="auto"/>
            <w:vAlign w:val="center"/>
            <w:hideMark/>
          </w:tcPr>
          <w:p w14:paraId="6CD7F7BE" w14:textId="77777777" w:rsidR="00FA1C1A" w:rsidRPr="00FA1C1A" w:rsidRDefault="00FA1C1A" w:rsidP="00FA1C1A">
            <w:pPr>
              <w:spacing w:before="120" w:after="120"/>
              <w:jc w:val="both"/>
              <w:rPr>
                <w:rFonts w:eastAsia="Times New Roman" w:cs="Arial"/>
                <w:lang w:eastAsia="en-ZA"/>
              </w:rPr>
            </w:pPr>
            <w:r w:rsidRPr="00FA1C1A">
              <w:rPr>
                <w:rFonts w:eastAsia="Times New Roman" w:cs="Arial"/>
                <w:lang w:eastAsia="en-ZA"/>
              </w:rPr>
              <w:t>1977</w:t>
            </w:r>
          </w:p>
        </w:tc>
        <w:tc>
          <w:tcPr>
            <w:tcW w:w="0" w:type="auto"/>
            <w:vAlign w:val="center"/>
            <w:hideMark/>
          </w:tcPr>
          <w:p w14:paraId="34482491" w14:textId="77777777" w:rsidR="00FA1C1A" w:rsidRPr="00FA1C1A" w:rsidRDefault="00FA1C1A" w:rsidP="00FA1C1A">
            <w:pPr>
              <w:spacing w:before="120" w:after="120"/>
              <w:jc w:val="both"/>
              <w:rPr>
                <w:rFonts w:eastAsia="Times New Roman" w:cs="Arial"/>
                <w:lang w:eastAsia="en-ZA"/>
              </w:rPr>
            </w:pPr>
            <w:r w:rsidRPr="00FA1C1A">
              <w:rPr>
                <w:rFonts w:eastAsia="Times New Roman" w:cs="Arial"/>
                <w:lang w:eastAsia="en-ZA"/>
              </w:rPr>
              <w:t>20.6%</w:t>
            </w:r>
          </w:p>
        </w:tc>
      </w:tr>
      <w:tr w:rsidR="00FA1C1A" w:rsidRPr="00FA1C1A" w14:paraId="0DD31457" w14:textId="77777777" w:rsidTr="00FA1C1A">
        <w:trPr>
          <w:tblCellSpacing w:w="15" w:type="dxa"/>
        </w:trPr>
        <w:tc>
          <w:tcPr>
            <w:tcW w:w="0" w:type="auto"/>
            <w:vAlign w:val="center"/>
            <w:hideMark/>
          </w:tcPr>
          <w:p w14:paraId="42E3AD01" w14:textId="77777777" w:rsidR="00FA1C1A" w:rsidRPr="00FA1C1A" w:rsidRDefault="00FA1C1A" w:rsidP="00FA1C1A">
            <w:pPr>
              <w:spacing w:before="120" w:after="120"/>
              <w:jc w:val="both"/>
              <w:rPr>
                <w:rFonts w:eastAsia="Times New Roman" w:cs="Arial"/>
                <w:lang w:eastAsia="en-ZA"/>
              </w:rPr>
            </w:pPr>
            <w:r w:rsidRPr="00FA1C1A">
              <w:rPr>
                <w:rFonts w:eastAsia="Times New Roman" w:cs="Arial"/>
                <w:lang w:eastAsia="en-ZA"/>
              </w:rPr>
              <w:t>1978</w:t>
            </w:r>
          </w:p>
        </w:tc>
        <w:tc>
          <w:tcPr>
            <w:tcW w:w="0" w:type="auto"/>
            <w:vAlign w:val="center"/>
            <w:hideMark/>
          </w:tcPr>
          <w:p w14:paraId="3370EA23" w14:textId="77777777" w:rsidR="00FA1C1A" w:rsidRPr="00FA1C1A" w:rsidRDefault="00FA1C1A" w:rsidP="00FA1C1A">
            <w:pPr>
              <w:spacing w:before="120" w:after="120"/>
              <w:jc w:val="both"/>
              <w:rPr>
                <w:rFonts w:eastAsia="Times New Roman" w:cs="Arial"/>
                <w:lang w:eastAsia="en-ZA"/>
              </w:rPr>
            </w:pPr>
            <w:r w:rsidRPr="00FA1C1A">
              <w:rPr>
                <w:rFonts w:eastAsia="Times New Roman" w:cs="Arial"/>
                <w:lang w:eastAsia="en-ZA"/>
              </w:rPr>
              <w:t>37.2%</w:t>
            </w:r>
          </w:p>
        </w:tc>
      </w:tr>
      <w:tr w:rsidR="00FA1C1A" w:rsidRPr="00FA1C1A" w14:paraId="0157AFB3" w14:textId="77777777" w:rsidTr="00FA1C1A">
        <w:trPr>
          <w:tblCellSpacing w:w="15" w:type="dxa"/>
        </w:trPr>
        <w:tc>
          <w:tcPr>
            <w:tcW w:w="0" w:type="auto"/>
            <w:vAlign w:val="center"/>
            <w:hideMark/>
          </w:tcPr>
          <w:p w14:paraId="75BFF5FD" w14:textId="77777777" w:rsidR="00FA1C1A" w:rsidRPr="00FA1C1A" w:rsidRDefault="00FA1C1A" w:rsidP="00FA1C1A">
            <w:pPr>
              <w:spacing w:before="120" w:after="120"/>
              <w:jc w:val="both"/>
              <w:rPr>
                <w:rFonts w:eastAsia="Times New Roman" w:cs="Arial"/>
                <w:lang w:eastAsia="en-ZA"/>
              </w:rPr>
            </w:pPr>
            <w:r w:rsidRPr="00FA1C1A">
              <w:rPr>
                <w:rFonts w:eastAsia="Times New Roman" w:cs="Arial"/>
                <w:lang w:eastAsia="en-ZA"/>
              </w:rPr>
              <w:t>1979</w:t>
            </w:r>
          </w:p>
        </w:tc>
        <w:tc>
          <w:tcPr>
            <w:tcW w:w="0" w:type="auto"/>
            <w:vAlign w:val="center"/>
            <w:hideMark/>
          </w:tcPr>
          <w:p w14:paraId="604CE770" w14:textId="77777777" w:rsidR="00FA1C1A" w:rsidRPr="00FA1C1A" w:rsidRDefault="00FA1C1A" w:rsidP="00FA1C1A">
            <w:pPr>
              <w:spacing w:before="120" w:after="120"/>
              <w:jc w:val="both"/>
              <w:rPr>
                <w:rFonts w:eastAsia="Times New Roman" w:cs="Arial"/>
                <w:lang w:eastAsia="en-ZA"/>
              </w:rPr>
            </w:pPr>
            <w:r w:rsidRPr="00FA1C1A">
              <w:rPr>
                <w:rFonts w:eastAsia="Times New Roman" w:cs="Arial"/>
                <w:lang w:eastAsia="en-ZA"/>
              </w:rPr>
              <w:t>94.4%</w:t>
            </w:r>
          </w:p>
        </w:tc>
      </w:tr>
      <w:tr w:rsidR="00FA1C1A" w:rsidRPr="00FA1C1A" w14:paraId="1DA85F34" w14:textId="77777777" w:rsidTr="00FA1C1A">
        <w:trPr>
          <w:tblCellSpacing w:w="15" w:type="dxa"/>
        </w:trPr>
        <w:tc>
          <w:tcPr>
            <w:tcW w:w="0" w:type="auto"/>
            <w:vAlign w:val="center"/>
            <w:hideMark/>
          </w:tcPr>
          <w:p w14:paraId="1BFC0ABF" w14:textId="77777777" w:rsidR="00FA1C1A" w:rsidRPr="00FA1C1A" w:rsidRDefault="00FA1C1A" w:rsidP="00FA1C1A">
            <w:pPr>
              <w:spacing w:before="120" w:after="120"/>
              <w:jc w:val="both"/>
              <w:rPr>
                <w:rFonts w:eastAsia="Times New Roman" w:cs="Arial"/>
                <w:lang w:eastAsia="en-ZA"/>
              </w:rPr>
            </w:pPr>
            <w:r w:rsidRPr="00FA1C1A">
              <w:rPr>
                <w:rFonts w:eastAsia="Times New Roman" w:cs="Arial"/>
                <w:lang w:eastAsia="en-ZA"/>
              </w:rPr>
              <w:t>1980</w:t>
            </w:r>
          </w:p>
        </w:tc>
        <w:tc>
          <w:tcPr>
            <w:tcW w:w="0" w:type="auto"/>
            <w:vAlign w:val="center"/>
            <w:hideMark/>
          </w:tcPr>
          <w:p w14:paraId="2F34F504" w14:textId="77777777" w:rsidR="00FA1C1A" w:rsidRPr="00FA1C1A" w:rsidRDefault="00FA1C1A" w:rsidP="00FA1C1A">
            <w:pPr>
              <w:spacing w:before="120" w:after="120"/>
              <w:jc w:val="both"/>
              <w:rPr>
                <w:rFonts w:eastAsia="Times New Roman" w:cs="Arial"/>
                <w:lang w:eastAsia="en-ZA"/>
              </w:rPr>
            </w:pPr>
            <w:r w:rsidRPr="00FA1C1A">
              <w:rPr>
                <w:rFonts w:eastAsia="Times New Roman" w:cs="Arial"/>
                <w:lang w:eastAsia="en-ZA"/>
              </w:rPr>
              <w:t>40.9%</w:t>
            </w:r>
          </w:p>
        </w:tc>
      </w:tr>
      <w:tr w:rsidR="00FA1C1A" w:rsidRPr="00FA1C1A" w14:paraId="02B8E7F4" w14:textId="77777777" w:rsidTr="00FA1C1A">
        <w:trPr>
          <w:tblCellSpacing w:w="15" w:type="dxa"/>
        </w:trPr>
        <w:tc>
          <w:tcPr>
            <w:tcW w:w="0" w:type="auto"/>
            <w:vAlign w:val="center"/>
            <w:hideMark/>
          </w:tcPr>
          <w:p w14:paraId="5F590752" w14:textId="77777777" w:rsidR="00FA1C1A" w:rsidRPr="00FA1C1A" w:rsidRDefault="00FA1C1A" w:rsidP="00FA1C1A">
            <w:pPr>
              <w:spacing w:before="120" w:after="120"/>
              <w:jc w:val="both"/>
              <w:rPr>
                <w:rFonts w:eastAsia="Times New Roman" w:cs="Arial"/>
                <w:lang w:eastAsia="en-ZA"/>
              </w:rPr>
            </w:pPr>
            <w:r w:rsidRPr="00FA1C1A">
              <w:rPr>
                <w:rFonts w:eastAsia="Times New Roman" w:cs="Arial"/>
                <w:lang w:eastAsia="en-ZA"/>
              </w:rPr>
              <w:t>1981</w:t>
            </w:r>
          </w:p>
        </w:tc>
        <w:tc>
          <w:tcPr>
            <w:tcW w:w="0" w:type="auto"/>
            <w:vAlign w:val="center"/>
            <w:hideMark/>
          </w:tcPr>
          <w:p w14:paraId="757ACA89" w14:textId="77777777" w:rsidR="00FA1C1A" w:rsidRPr="00FA1C1A" w:rsidRDefault="00FA1C1A" w:rsidP="00FA1C1A">
            <w:pPr>
              <w:spacing w:before="120" w:after="120"/>
              <w:jc w:val="both"/>
              <w:rPr>
                <w:rFonts w:eastAsia="Times New Roman" w:cs="Arial"/>
                <w:lang w:eastAsia="en-ZA"/>
              </w:rPr>
            </w:pPr>
            <w:r w:rsidRPr="00FA1C1A">
              <w:rPr>
                <w:rFonts w:eastAsia="Times New Roman" w:cs="Arial"/>
                <w:lang w:eastAsia="en-ZA"/>
              </w:rPr>
              <w:t>0.8%</w:t>
            </w:r>
          </w:p>
        </w:tc>
      </w:tr>
      <w:tr w:rsidR="00FA1C1A" w:rsidRPr="00FA1C1A" w14:paraId="05C2F6FC" w14:textId="77777777" w:rsidTr="00FA1C1A">
        <w:trPr>
          <w:tblCellSpacing w:w="15" w:type="dxa"/>
        </w:trPr>
        <w:tc>
          <w:tcPr>
            <w:tcW w:w="0" w:type="auto"/>
            <w:vAlign w:val="center"/>
            <w:hideMark/>
          </w:tcPr>
          <w:p w14:paraId="0AA72AA0" w14:textId="77777777" w:rsidR="00FA1C1A" w:rsidRPr="00FA1C1A" w:rsidRDefault="00FA1C1A" w:rsidP="00FA1C1A">
            <w:pPr>
              <w:spacing w:before="120" w:after="120"/>
              <w:jc w:val="both"/>
              <w:rPr>
                <w:rFonts w:eastAsia="Times New Roman" w:cs="Arial"/>
                <w:lang w:eastAsia="en-ZA"/>
              </w:rPr>
            </w:pPr>
            <w:r w:rsidRPr="00FA1C1A">
              <w:rPr>
                <w:rFonts w:eastAsia="Times New Roman" w:cs="Arial"/>
                <w:lang w:eastAsia="en-ZA"/>
              </w:rPr>
              <w:t>1982</w:t>
            </w:r>
          </w:p>
        </w:tc>
        <w:tc>
          <w:tcPr>
            <w:tcW w:w="0" w:type="auto"/>
            <w:vAlign w:val="center"/>
            <w:hideMark/>
          </w:tcPr>
          <w:p w14:paraId="4A1AEB55" w14:textId="77777777" w:rsidR="00FA1C1A" w:rsidRPr="00FA1C1A" w:rsidRDefault="00FA1C1A" w:rsidP="00FA1C1A">
            <w:pPr>
              <w:spacing w:before="120" w:after="120"/>
              <w:jc w:val="both"/>
              <w:rPr>
                <w:rFonts w:eastAsia="Times New Roman" w:cs="Arial"/>
                <w:lang w:eastAsia="en-ZA"/>
              </w:rPr>
            </w:pPr>
            <w:r w:rsidRPr="00FA1C1A">
              <w:rPr>
                <w:rFonts w:eastAsia="Times New Roman" w:cs="Arial"/>
                <w:lang w:eastAsia="en-ZA"/>
              </w:rPr>
              <w:t>38.4%</w:t>
            </w:r>
          </w:p>
        </w:tc>
      </w:tr>
      <w:tr w:rsidR="00FA1C1A" w:rsidRPr="00FA1C1A" w14:paraId="27E929E9" w14:textId="77777777" w:rsidTr="00FA1C1A">
        <w:trPr>
          <w:tblCellSpacing w:w="15" w:type="dxa"/>
        </w:trPr>
        <w:tc>
          <w:tcPr>
            <w:tcW w:w="0" w:type="auto"/>
            <w:vAlign w:val="center"/>
            <w:hideMark/>
          </w:tcPr>
          <w:p w14:paraId="2389E74F" w14:textId="77777777" w:rsidR="00FA1C1A" w:rsidRPr="00FA1C1A" w:rsidRDefault="00FA1C1A" w:rsidP="00FA1C1A">
            <w:pPr>
              <w:spacing w:before="120" w:after="120"/>
              <w:jc w:val="both"/>
              <w:rPr>
                <w:rFonts w:eastAsia="Times New Roman" w:cs="Arial"/>
                <w:lang w:eastAsia="en-ZA"/>
              </w:rPr>
            </w:pPr>
            <w:r w:rsidRPr="00FA1C1A">
              <w:rPr>
                <w:rFonts w:eastAsia="Times New Roman" w:cs="Arial"/>
                <w:lang w:eastAsia="en-ZA"/>
              </w:rPr>
              <w:t>1983</w:t>
            </w:r>
          </w:p>
        </w:tc>
        <w:tc>
          <w:tcPr>
            <w:tcW w:w="0" w:type="auto"/>
            <w:vAlign w:val="center"/>
            <w:hideMark/>
          </w:tcPr>
          <w:p w14:paraId="7C7B794B" w14:textId="77777777" w:rsidR="00FA1C1A" w:rsidRPr="00FA1C1A" w:rsidRDefault="00FA1C1A" w:rsidP="00FA1C1A">
            <w:pPr>
              <w:spacing w:before="120" w:after="120"/>
              <w:jc w:val="both"/>
              <w:rPr>
                <w:rFonts w:eastAsia="Times New Roman" w:cs="Arial"/>
                <w:lang w:eastAsia="en-ZA"/>
              </w:rPr>
            </w:pPr>
            <w:r w:rsidRPr="00FA1C1A">
              <w:rPr>
                <w:rFonts w:eastAsia="Times New Roman" w:cs="Arial"/>
                <w:lang w:eastAsia="en-ZA"/>
              </w:rPr>
              <w:t>14.4%</w:t>
            </w:r>
          </w:p>
        </w:tc>
      </w:tr>
      <w:tr w:rsidR="00FA1C1A" w:rsidRPr="00FA1C1A" w14:paraId="3C38C29F" w14:textId="77777777" w:rsidTr="00FA1C1A">
        <w:trPr>
          <w:tblCellSpacing w:w="15" w:type="dxa"/>
        </w:trPr>
        <w:tc>
          <w:tcPr>
            <w:tcW w:w="0" w:type="auto"/>
            <w:vAlign w:val="center"/>
            <w:hideMark/>
          </w:tcPr>
          <w:p w14:paraId="36F98645" w14:textId="77777777" w:rsidR="00FA1C1A" w:rsidRPr="00FA1C1A" w:rsidRDefault="00FA1C1A" w:rsidP="00FA1C1A">
            <w:pPr>
              <w:spacing w:before="120" w:after="120"/>
              <w:jc w:val="both"/>
              <w:rPr>
                <w:rFonts w:eastAsia="Times New Roman" w:cs="Arial"/>
                <w:lang w:eastAsia="en-ZA"/>
              </w:rPr>
            </w:pPr>
            <w:r w:rsidRPr="00FA1C1A">
              <w:rPr>
                <w:rFonts w:eastAsia="Times New Roman" w:cs="Arial"/>
                <w:lang w:eastAsia="en-ZA"/>
              </w:rPr>
              <w:t>1984</w:t>
            </w:r>
          </w:p>
        </w:tc>
        <w:tc>
          <w:tcPr>
            <w:tcW w:w="0" w:type="auto"/>
            <w:vAlign w:val="center"/>
            <w:hideMark/>
          </w:tcPr>
          <w:p w14:paraId="1DA0C881" w14:textId="77777777" w:rsidR="00FA1C1A" w:rsidRPr="00FA1C1A" w:rsidRDefault="00FA1C1A" w:rsidP="00FA1C1A">
            <w:pPr>
              <w:spacing w:before="120" w:after="120"/>
              <w:jc w:val="both"/>
              <w:rPr>
                <w:rFonts w:eastAsia="Times New Roman" w:cs="Arial"/>
                <w:lang w:eastAsia="en-ZA"/>
              </w:rPr>
            </w:pPr>
            <w:r w:rsidRPr="00FA1C1A">
              <w:rPr>
                <w:rFonts w:eastAsia="Times New Roman" w:cs="Arial"/>
                <w:lang w:eastAsia="en-ZA"/>
              </w:rPr>
              <w:t>9.4%</w:t>
            </w:r>
          </w:p>
        </w:tc>
      </w:tr>
      <w:tr w:rsidR="00FA1C1A" w:rsidRPr="00FA1C1A" w14:paraId="5D7E16C6" w14:textId="77777777" w:rsidTr="00FA1C1A">
        <w:trPr>
          <w:tblCellSpacing w:w="15" w:type="dxa"/>
        </w:trPr>
        <w:tc>
          <w:tcPr>
            <w:tcW w:w="0" w:type="auto"/>
            <w:vAlign w:val="center"/>
            <w:hideMark/>
          </w:tcPr>
          <w:p w14:paraId="688F2BB8" w14:textId="77777777" w:rsidR="00FA1C1A" w:rsidRPr="00FA1C1A" w:rsidRDefault="00FA1C1A" w:rsidP="00FA1C1A">
            <w:pPr>
              <w:spacing w:before="120" w:after="120"/>
              <w:jc w:val="both"/>
              <w:rPr>
                <w:rFonts w:eastAsia="Times New Roman" w:cs="Arial"/>
                <w:lang w:eastAsia="en-ZA"/>
              </w:rPr>
            </w:pPr>
            <w:r w:rsidRPr="00FA1C1A">
              <w:rPr>
                <w:rFonts w:eastAsia="Times New Roman" w:cs="Arial"/>
                <w:lang w:eastAsia="en-ZA"/>
              </w:rPr>
              <w:t>1985</w:t>
            </w:r>
          </w:p>
        </w:tc>
        <w:tc>
          <w:tcPr>
            <w:tcW w:w="0" w:type="auto"/>
            <w:vAlign w:val="center"/>
            <w:hideMark/>
          </w:tcPr>
          <w:p w14:paraId="578D2981" w14:textId="77777777" w:rsidR="00FA1C1A" w:rsidRPr="00FA1C1A" w:rsidRDefault="00FA1C1A" w:rsidP="00FA1C1A">
            <w:pPr>
              <w:spacing w:before="120" w:after="120"/>
              <w:jc w:val="both"/>
              <w:rPr>
                <w:rFonts w:eastAsia="Times New Roman" w:cs="Arial"/>
                <w:lang w:eastAsia="en-ZA"/>
              </w:rPr>
            </w:pPr>
            <w:r w:rsidRPr="00FA1C1A">
              <w:rPr>
                <w:rFonts w:eastAsia="Times New Roman" w:cs="Arial"/>
                <w:lang w:eastAsia="en-ZA"/>
              </w:rPr>
              <w:t>42.0%</w:t>
            </w:r>
          </w:p>
        </w:tc>
      </w:tr>
      <w:tr w:rsidR="00FA1C1A" w:rsidRPr="00FA1C1A" w14:paraId="5D9D166D" w14:textId="77777777" w:rsidTr="00FA1C1A">
        <w:trPr>
          <w:tblCellSpacing w:w="15" w:type="dxa"/>
        </w:trPr>
        <w:tc>
          <w:tcPr>
            <w:tcW w:w="0" w:type="auto"/>
            <w:vAlign w:val="center"/>
            <w:hideMark/>
          </w:tcPr>
          <w:p w14:paraId="493C8CC3" w14:textId="77777777" w:rsidR="00FA1C1A" w:rsidRPr="00FA1C1A" w:rsidRDefault="00FA1C1A" w:rsidP="00FA1C1A">
            <w:pPr>
              <w:spacing w:before="120" w:after="120"/>
              <w:jc w:val="both"/>
              <w:rPr>
                <w:rFonts w:eastAsia="Times New Roman" w:cs="Arial"/>
                <w:lang w:eastAsia="en-ZA"/>
              </w:rPr>
            </w:pPr>
            <w:r w:rsidRPr="00FA1C1A">
              <w:rPr>
                <w:rFonts w:eastAsia="Times New Roman" w:cs="Arial"/>
                <w:lang w:eastAsia="en-ZA"/>
              </w:rPr>
              <w:t>1986</w:t>
            </w:r>
          </w:p>
        </w:tc>
        <w:tc>
          <w:tcPr>
            <w:tcW w:w="0" w:type="auto"/>
            <w:vAlign w:val="center"/>
            <w:hideMark/>
          </w:tcPr>
          <w:p w14:paraId="32F0DEB8" w14:textId="77777777" w:rsidR="00FA1C1A" w:rsidRPr="00FA1C1A" w:rsidRDefault="00FA1C1A" w:rsidP="00FA1C1A">
            <w:pPr>
              <w:spacing w:before="120" w:after="120"/>
              <w:jc w:val="both"/>
              <w:rPr>
                <w:rFonts w:eastAsia="Times New Roman" w:cs="Arial"/>
                <w:lang w:eastAsia="en-ZA"/>
              </w:rPr>
            </w:pPr>
            <w:r w:rsidRPr="00FA1C1A">
              <w:rPr>
                <w:rFonts w:eastAsia="Times New Roman" w:cs="Arial"/>
                <w:lang w:eastAsia="en-ZA"/>
              </w:rPr>
              <w:t>55.9%</w:t>
            </w:r>
          </w:p>
        </w:tc>
      </w:tr>
      <w:tr w:rsidR="00FA1C1A" w:rsidRPr="00FA1C1A" w14:paraId="1FFBFB3C" w14:textId="77777777" w:rsidTr="00FA1C1A">
        <w:trPr>
          <w:tblCellSpacing w:w="15" w:type="dxa"/>
        </w:trPr>
        <w:tc>
          <w:tcPr>
            <w:tcW w:w="0" w:type="auto"/>
            <w:vAlign w:val="center"/>
            <w:hideMark/>
          </w:tcPr>
          <w:p w14:paraId="6E724EC7" w14:textId="77777777" w:rsidR="00FA1C1A" w:rsidRPr="00FA1C1A" w:rsidRDefault="00FA1C1A" w:rsidP="00FA1C1A">
            <w:pPr>
              <w:spacing w:before="120" w:after="120"/>
              <w:jc w:val="both"/>
              <w:rPr>
                <w:rFonts w:eastAsia="Times New Roman" w:cs="Arial"/>
                <w:lang w:eastAsia="en-ZA"/>
              </w:rPr>
            </w:pPr>
            <w:r w:rsidRPr="00FA1C1A">
              <w:rPr>
                <w:rFonts w:eastAsia="Times New Roman" w:cs="Arial"/>
                <w:lang w:eastAsia="en-ZA"/>
              </w:rPr>
              <w:t>1987</w:t>
            </w:r>
          </w:p>
        </w:tc>
        <w:tc>
          <w:tcPr>
            <w:tcW w:w="0" w:type="auto"/>
            <w:vAlign w:val="center"/>
            <w:hideMark/>
          </w:tcPr>
          <w:p w14:paraId="324519CF" w14:textId="77777777" w:rsidR="00FA1C1A" w:rsidRPr="00FA1C1A" w:rsidRDefault="00FA1C1A" w:rsidP="00FA1C1A">
            <w:pPr>
              <w:spacing w:before="120" w:after="120"/>
              <w:jc w:val="both"/>
              <w:rPr>
                <w:rFonts w:eastAsia="Times New Roman" w:cs="Arial"/>
                <w:lang w:eastAsia="en-ZA"/>
              </w:rPr>
            </w:pPr>
            <w:r w:rsidRPr="00FA1C1A">
              <w:rPr>
                <w:rFonts w:eastAsia="Times New Roman" w:cs="Arial"/>
                <w:lang w:eastAsia="en-ZA"/>
              </w:rPr>
              <w:t>-4.3%</w:t>
            </w:r>
          </w:p>
        </w:tc>
      </w:tr>
      <w:tr w:rsidR="00FA1C1A" w:rsidRPr="00FA1C1A" w14:paraId="259CE343" w14:textId="77777777" w:rsidTr="00FA1C1A">
        <w:trPr>
          <w:tblCellSpacing w:w="15" w:type="dxa"/>
        </w:trPr>
        <w:tc>
          <w:tcPr>
            <w:tcW w:w="0" w:type="auto"/>
            <w:vAlign w:val="center"/>
            <w:hideMark/>
          </w:tcPr>
          <w:p w14:paraId="20E1E8E4" w14:textId="77777777" w:rsidR="00FA1C1A" w:rsidRPr="00FA1C1A" w:rsidRDefault="00FA1C1A" w:rsidP="00FA1C1A">
            <w:pPr>
              <w:spacing w:before="120" w:after="120"/>
              <w:jc w:val="both"/>
              <w:rPr>
                <w:rFonts w:eastAsia="Times New Roman" w:cs="Arial"/>
                <w:lang w:eastAsia="en-ZA"/>
              </w:rPr>
            </w:pPr>
            <w:r w:rsidRPr="00FA1C1A">
              <w:rPr>
                <w:rFonts w:eastAsia="Times New Roman" w:cs="Arial"/>
                <w:lang w:eastAsia="en-ZA"/>
              </w:rPr>
              <w:t>1988</w:t>
            </w:r>
          </w:p>
        </w:tc>
        <w:tc>
          <w:tcPr>
            <w:tcW w:w="0" w:type="auto"/>
            <w:vAlign w:val="center"/>
            <w:hideMark/>
          </w:tcPr>
          <w:p w14:paraId="15B0403B" w14:textId="77777777" w:rsidR="00FA1C1A" w:rsidRPr="00FA1C1A" w:rsidRDefault="00FA1C1A" w:rsidP="00FA1C1A">
            <w:pPr>
              <w:spacing w:before="120" w:after="120"/>
              <w:jc w:val="both"/>
              <w:rPr>
                <w:rFonts w:eastAsia="Times New Roman" w:cs="Arial"/>
                <w:lang w:eastAsia="en-ZA"/>
              </w:rPr>
            </w:pPr>
            <w:r w:rsidRPr="00FA1C1A">
              <w:rPr>
                <w:rFonts w:eastAsia="Times New Roman" w:cs="Arial"/>
                <w:lang w:eastAsia="en-ZA"/>
              </w:rPr>
              <w:t>14.8%</w:t>
            </w:r>
          </w:p>
        </w:tc>
      </w:tr>
      <w:tr w:rsidR="00FA1C1A" w:rsidRPr="00FA1C1A" w14:paraId="6AB00C0C" w14:textId="77777777" w:rsidTr="00FA1C1A">
        <w:trPr>
          <w:tblCellSpacing w:w="15" w:type="dxa"/>
        </w:trPr>
        <w:tc>
          <w:tcPr>
            <w:tcW w:w="0" w:type="auto"/>
            <w:vAlign w:val="center"/>
            <w:hideMark/>
          </w:tcPr>
          <w:p w14:paraId="0EC7544A" w14:textId="77777777" w:rsidR="00FA1C1A" w:rsidRPr="00FA1C1A" w:rsidRDefault="00FA1C1A" w:rsidP="00FA1C1A">
            <w:pPr>
              <w:spacing w:before="120" w:after="120"/>
              <w:jc w:val="both"/>
              <w:rPr>
                <w:rFonts w:eastAsia="Times New Roman" w:cs="Arial"/>
                <w:lang w:eastAsia="en-ZA"/>
              </w:rPr>
            </w:pPr>
            <w:r w:rsidRPr="00FA1C1A">
              <w:rPr>
                <w:rFonts w:eastAsia="Times New Roman" w:cs="Arial"/>
                <w:lang w:eastAsia="en-ZA"/>
              </w:rPr>
              <w:t>1989</w:t>
            </w:r>
          </w:p>
        </w:tc>
        <w:tc>
          <w:tcPr>
            <w:tcW w:w="0" w:type="auto"/>
            <w:vAlign w:val="center"/>
            <w:hideMark/>
          </w:tcPr>
          <w:p w14:paraId="0FF95149" w14:textId="77777777" w:rsidR="00FA1C1A" w:rsidRPr="00FA1C1A" w:rsidRDefault="00FA1C1A" w:rsidP="00FA1C1A">
            <w:pPr>
              <w:spacing w:before="120" w:after="120"/>
              <w:jc w:val="both"/>
              <w:rPr>
                <w:rFonts w:eastAsia="Times New Roman" w:cs="Arial"/>
                <w:lang w:eastAsia="en-ZA"/>
              </w:rPr>
            </w:pPr>
            <w:r w:rsidRPr="00FA1C1A">
              <w:rPr>
                <w:rFonts w:eastAsia="Times New Roman" w:cs="Arial"/>
                <w:lang w:eastAsia="en-ZA"/>
              </w:rPr>
              <w:t>55.7%</w:t>
            </w:r>
          </w:p>
        </w:tc>
      </w:tr>
      <w:tr w:rsidR="00FA1C1A" w:rsidRPr="00FA1C1A" w14:paraId="15651B47" w14:textId="77777777" w:rsidTr="00FA1C1A">
        <w:trPr>
          <w:tblCellSpacing w:w="15" w:type="dxa"/>
        </w:trPr>
        <w:tc>
          <w:tcPr>
            <w:tcW w:w="0" w:type="auto"/>
            <w:vAlign w:val="center"/>
            <w:hideMark/>
          </w:tcPr>
          <w:p w14:paraId="7ECB20D7" w14:textId="77777777" w:rsidR="00FA1C1A" w:rsidRPr="00FA1C1A" w:rsidRDefault="00FA1C1A" w:rsidP="00FA1C1A">
            <w:pPr>
              <w:spacing w:before="120" w:after="120"/>
              <w:jc w:val="both"/>
              <w:rPr>
                <w:rFonts w:eastAsia="Times New Roman" w:cs="Arial"/>
                <w:lang w:eastAsia="en-ZA"/>
              </w:rPr>
            </w:pPr>
            <w:r w:rsidRPr="00FA1C1A">
              <w:rPr>
                <w:rFonts w:eastAsia="Times New Roman" w:cs="Arial"/>
                <w:lang w:eastAsia="en-ZA"/>
              </w:rPr>
              <w:t>1990</w:t>
            </w:r>
          </w:p>
        </w:tc>
        <w:tc>
          <w:tcPr>
            <w:tcW w:w="0" w:type="auto"/>
            <w:vAlign w:val="center"/>
            <w:hideMark/>
          </w:tcPr>
          <w:p w14:paraId="51B7DB4E" w14:textId="77777777" w:rsidR="00FA1C1A" w:rsidRPr="00FA1C1A" w:rsidRDefault="00FA1C1A" w:rsidP="00FA1C1A">
            <w:pPr>
              <w:spacing w:before="120" w:after="120"/>
              <w:jc w:val="both"/>
              <w:rPr>
                <w:rFonts w:eastAsia="Times New Roman" w:cs="Arial"/>
                <w:lang w:eastAsia="en-ZA"/>
              </w:rPr>
            </w:pPr>
            <w:r w:rsidRPr="00FA1C1A">
              <w:rPr>
                <w:rFonts w:eastAsia="Times New Roman" w:cs="Arial"/>
                <w:lang w:eastAsia="en-ZA"/>
              </w:rPr>
              <w:t>5.1%</w:t>
            </w:r>
          </w:p>
        </w:tc>
      </w:tr>
      <w:tr w:rsidR="00FA1C1A" w:rsidRPr="00FA1C1A" w14:paraId="7541A727" w14:textId="77777777" w:rsidTr="00FA1C1A">
        <w:trPr>
          <w:tblCellSpacing w:w="15" w:type="dxa"/>
        </w:trPr>
        <w:tc>
          <w:tcPr>
            <w:tcW w:w="0" w:type="auto"/>
            <w:vAlign w:val="center"/>
            <w:hideMark/>
          </w:tcPr>
          <w:p w14:paraId="62D42166" w14:textId="77777777" w:rsidR="00FA1C1A" w:rsidRPr="00FA1C1A" w:rsidRDefault="00FA1C1A" w:rsidP="00FA1C1A">
            <w:pPr>
              <w:spacing w:before="120" w:after="120"/>
              <w:jc w:val="both"/>
              <w:rPr>
                <w:rFonts w:eastAsia="Times New Roman" w:cs="Arial"/>
                <w:lang w:eastAsia="en-ZA"/>
              </w:rPr>
            </w:pPr>
            <w:r w:rsidRPr="00FA1C1A">
              <w:rPr>
                <w:rFonts w:eastAsia="Times New Roman" w:cs="Arial"/>
                <w:lang w:eastAsia="en-ZA"/>
              </w:rPr>
              <w:t>1991</w:t>
            </w:r>
          </w:p>
        </w:tc>
        <w:tc>
          <w:tcPr>
            <w:tcW w:w="0" w:type="auto"/>
            <w:vAlign w:val="center"/>
            <w:hideMark/>
          </w:tcPr>
          <w:p w14:paraId="7F121F24" w14:textId="77777777" w:rsidR="00FA1C1A" w:rsidRPr="00FA1C1A" w:rsidRDefault="00FA1C1A" w:rsidP="00FA1C1A">
            <w:pPr>
              <w:spacing w:before="120" w:after="120"/>
              <w:jc w:val="both"/>
              <w:rPr>
                <w:rFonts w:eastAsia="Times New Roman" w:cs="Arial"/>
                <w:lang w:eastAsia="en-ZA"/>
              </w:rPr>
            </w:pPr>
            <w:r w:rsidRPr="00FA1C1A">
              <w:rPr>
                <w:rFonts w:eastAsia="Times New Roman" w:cs="Arial"/>
                <w:lang w:eastAsia="en-ZA"/>
              </w:rPr>
              <w:t>31.1%</w:t>
            </w:r>
          </w:p>
        </w:tc>
      </w:tr>
      <w:tr w:rsidR="00FA1C1A" w:rsidRPr="00FA1C1A" w14:paraId="4DCFF1E9" w14:textId="77777777" w:rsidTr="00FA1C1A">
        <w:trPr>
          <w:tblCellSpacing w:w="15" w:type="dxa"/>
        </w:trPr>
        <w:tc>
          <w:tcPr>
            <w:tcW w:w="0" w:type="auto"/>
            <w:vAlign w:val="center"/>
            <w:hideMark/>
          </w:tcPr>
          <w:p w14:paraId="72B685C4" w14:textId="77777777" w:rsidR="00FA1C1A" w:rsidRPr="00FA1C1A" w:rsidRDefault="00FA1C1A" w:rsidP="00FA1C1A">
            <w:pPr>
              <w:spacing w:before="120" w:after="120"/>
              <w:jc w:val="both"/>
              <w:rPr>
                <w:rFonts w:eastAsia="Times New Roman" w:cs="Arial"/>
                <w:lang w:eastAsia="en-ZA"/>
              </w:rPr>
            </w:pPr>
            <w:r w:rsidRPr="00FA1C1A">
              <w:rPr>
                <w:rFonts w:eastAsia="Times New Roman" w:cs="Arial"/>
                <w:lang w:eastAsia="en-ZA"/>
              </w:rPr>
              <w:t>1992</w:t>
            </w:r>
          </w:p>
        </w:tc>
        <w:tc>
          <w:tcPr>
            <w:tcW w:w="0" w:type="auto"/>
            <w:vAlign w:val="center"/>
            <w:hideMark/>
          </w:tcPr>
          <w:p w14:paraId="5F36A11E" w14:textId="77777777" w:rsidR="00FA1C1A" w:rsidRPr="00FA1C1A" w:rsidRDefault="00FA1C1A" w:rsidP="00FA1C1A">
            <w:pPr>
              <w:spacing w:before="120" w:after="120"/>
              <w:jc w:val="both"/>
              <w:rPr>
                <w:rFonts w:eastAsia="Times New Roman" w:cs="Arial"/>
                <w:lang w:eastAsia="en-ZA"/>
              </w:rPr>
            </w:pPr>
            <w:r w:rsidRPr="00FA1C1A">
              <w:rPr>
                <w:rFonts w:eastAsia="Times New Roman" w:cs="Arial"/>
                <w:lang w:eastAsia="en-ZA"/>
              </w:rPr>
              <w:t>-2.0%</w:t>
            </w:r>
          </w:p>
        </w:tc>
      </w:tr>
      <w:tr w:rsidR="00FA1C1A" w:rsidRPr="00FA1C1A" w14:paraId="1914DC89" w14:textId="77777777" w:rsidTr="00FA1C1A">
        <w:trPr>
          <w:tblCellSpacing w:w="15" w:type="dxa"/>
        </w:trPr>
        <w:tc>
          <w:tcPr>
            <w:tcW w:w="0" w:type="auto"/>
            <w:vAlign w:val="center"/>
            <w:hideMark/>
          </w:tcPr>
          <w:p w14:paraId="3D8054B5" w14:textId="77777777" w:rsidR="00FA1C1A" w:rsidRPr="00FA1C1A" w:rsidRDefault="00FA1C1A" w:rsidP="00FA1C1A">
            <w:pPr>
              <w:spacing w:before="120" w:after="120"/>
              <w:jc w:val="both"/>
              <w:rPr>
                <w:rFonts w:eastAsia="Times New Roman" w:cs="Arial"/>
                <w:lang w:eastAsia="en-ZA"/>
              </w:rPr>
            </w:pPr>
            <w:r w:rsidRPr="00FA1C1A">
              <w:rPr>
                <w:rFonts w:eastAsia="Times New Roman" w:cs="Arial"/>
                <w:lang w:eastAsia="en-ZA"/>
              </w:rPr>
              <w:t>1993</w:t>
            </w:r>
          </w:p>
        </w:tc>
        <w:tc>
          <w:tcPr>
            <w:tcW w:w="0" w:type="auto"/>
            <w:vAlign w:val="center"/>
            <w:hideMark/>
          </w:tcPr>
          <w:p w14:paraId="7F3E6E27" w14:textId="77777777" w:rsidR="00FA1C1A" w:rsidRPr="00FA1C1A" w:rsidRDefault="00FA1C1A" w:rsidP="00FA1C1A">
            <w:pPr>
              <w:spacing w:before="120" w:after="120"/>
              <w:jc w:val="both"/>
              <w:rPr>
                <w:rFonts w:eastAsia="Times New Roman" w:cs="Arial"/>
                <w:lang w:eastAsia="en-ZA"/>
              </w:rPr>
            </w:pPr>
            <w:r w:rsidRPr="00FA1C1A">
              <w:rPr>
                <w:rFonts w:eastAsia="Times New Roman" w:cs="Arial"/>
                <w:lang w:eastAsia="en-ZA"/>
              </w:rPr>
              <w:t>54.7%</w:t>
            </w:r>
          </w:p>
        </w:tc>
      </w:tr>
      <w:tr w:rsidR="00FA1C1A" w:rsidRPr="00FA1C1A" w14:paraId="1073B1C8" w14:textId="77777777" w:rsidTr="00FA1C1A">
        <w:trPr>
          <w:tblCellSpacing w:w="15" w:type="dxa"/>
        </w:trPr>
        <w:tc>
          <w:tcPr>
            <w:tcW w:w="0" w:type="auto"/>
            <w:vAlign w:val="center"/>
            <w:hideMark/>
          </w:tcPr>
          <w:p w14:paraId="505D2BBE" w14:textId="77777777" w:rsidR="00FA1C1A" w:rsidRPr="00FA1C1A" w:rsidRDefault="00FA1C1A" w:rsidP="00FA1C1A">
            <w:pPr>
              <w:spacing w:before="120" w:after="120"/>
              <w:jc w:val="both"/>
              <w:rPr>
                <w:rFonts w:eastAsia="Times New Roman" w:cs="Arial"/>
                <w:lang w:eastAsia="en-ZA"/>
              </w:rPr>
            </w:pPr>
            <w:r w:rsidRPr="00FA1C1A">
              <w:rPr>
                <w:rFonts w:eastAsia="Times New Roman" w:cs="Arial"/>
                <w:lang w:eastAsia="en-ZA"/>
              </w:rPr>
              <w:t>1994</w:t>
            </w:r>
          </w:p>
        </w:tc>
        <w:tc>
          <w:tcPr>
            <w:tcW w:w="0" w:type="auto"/>
            <w:vAlign w:val="center"/>
            <w:hideMark/>
          </w:tcPr>
          <w:p w14:paraId="2163E5CD" w14:textId="77777777" w:rsidR="00FA1C1A" w:rsidRPr="00FA1C1A" w:rsidRDefault="00FA1C1A" w:rsidP="00FA1C1A">
            <w:pPr>
              <w:spacing w:before="120" w:after="120"/>
              <w:jc w:val="both"/>
              <w:rPr>
                <w:rFonts w:eastAsia="Times New Roman" w:cs="Arial"/>
                <w:lang w:eastAsia="en-ZA"/>
              </w:rPr>
            </w:pPr>
            <w:r w:rsidRPr="00FA1C1A">
              <w:rPr>
                <w:rFonts w:eastAsia="Times New Roman" w:cs="Arial"/>
                <w:lang w:eastAsia="en-ZA"/>
              </w:rPr>
              <w:t>22.7%</w:t>
            </w:r>
          </w:p>
        </w:tc>
      </w:tr>
      <w:tr w:rsidR="00FA1C1A" w:rsidRPr="00FA1C1A" w14:paraId="50353CB7" w14:textId="77777777" w:rsidTr="00FA1C1A">
        <w:trPr>
          <w:tblCellSpacing w:w="15" w:type="dxa"/>
        </w:trPr>
        <w:tc>
          <w:tcPr>
            <w:tcW w:w="0" w:type="auto"/>
            <w:vAlign w:val="center"/>
            <w:hideMark/>
          </w:tcPr>
          <w:p w14:paraId="417803FF" w14:textId="77777777" w:rsidR="00FA1C1A" w:rsidRPr="00FA1C1A" w:rsidRDefault="00FA1C1A" w:rsidP="00FA1C1A">
            <w:pPr>
              <w:spacing w:before="120" w:after="120"/>
              <w:jc w:val="both"/>
              <w:rPr>
                <w:rFonts w:eastAsia="Times New Roman" w:cs="Arial"/>
                <w:lang w:eastAsia="en-ZA"/>
              </w:rPr>
            </w:pPr>
            <w:r w:rsidRPr="00FA1C1A">
              <w:rPr>
                <w:rFonts w:eastAsia="Times New Roman" w:cs="Arial"/>
                <w:lang w:eastAsia="en-ZA"/>
              </w:rPr>
              <w:t>1995</w:t>
            </w:r>
          </w:p>
        </w:tc>
        <w:tc>
          <w:tcPr>
            <w:tcW w:w="0" w:type="auto"/>
            <w:vAlign w:val="center"/>
            <w:hideMark/>
          </w:tcPr>
          <w:p w14:paraId="343E2C46" w14:textId="77777777" w:rsidR="00FA1C1A" w:rsidRPr="00FA1C1A" w:rsidRDefault="00FA1C1A" w:rsidP="00FA1C1A">
            <w:pPr>
              <w:spacing w:before="120" w:after="120"/>
              <w:jc w:val="both"/>
              <w:rPr>
                <w:rFonts w:eastAsia="Times New Roman" w:cs="Arial"/>
                <w:lang w:eastAsia="en-ZA"/>
              </w:rPr>
            </w:pPr>
            <w:r w:rsidRPr="00FA1C1A">
              <w:rPr>
                <w:rFonts w:eastAsia="Times New Roman" w:cs="Arial"/>
                <w:lang w:eastAsia="en-ZA"/>
              </w:rPr>
              <w:t>8.8%</w:t>
            </w:r>
          </w:p>
        </w:tc>
      </w:tr>
      <w:tr w:rsidR="00FA1C1A" w:rsidRPr="00FA1C1A" w14:paraId="0D6A76EB" w14:textId="77777777" w:rsidTr="00FA1C1A">
        <w:trPr>
          <w:tblCellSpacing w:w="15" w:type="dxa"/>
        </w:trPr>
        <w:tc>
          <w:tcPr>
            <w:tcW w:w="0" w:type="auto"/>
            <w:vAlign w:val="center"/>
            <w:hideMark/>
          </w:tcPr>
          <w:p w14:paraId="256716AB" w14:textId="77777777" w:rsidR="00FA1C1A" w:rsidRPr="00FA1C1A" w:rsidRDefault="00FA1C1A" w:rsidP="00FA1C1A">
            <w:pPr>
              <w:spacing w:before="120" w:after="120"/>
              <w:jc w:val="both"/>
              <w:rPr>
                <w:rFonts w:eastAsia="Times New Roman" w:cs="Arial"/>
                <w:lang w:eastAsia="en-ZA"/>
              </w:rPr>
            </w:pPr>
            <w:r w:rsidRPr="00FA1C1A">
              <w:rPr>
                <w:rFonts w:eastAsia="Times New Roman" w:cs="Arial"/>
                <w:lang w:eastAsia="en-ZA"/>
              </w:rPr>
              <w:lastRenderedPageBreak/>
              <w:t>1996</w:t>
            </w:r>
          </w:p>
        </w:tc>
        <w:tc>
          <w:tcPr>
            <w:tcW w:w="0" w:type="auto"/>
            <w:vAlign w:val="center"/>
            <w:hideMark/>
          </w:tcPr>
          <w:p w14:paraId="7EDD5DF5" w14:textId="77777777" w:rsidR="00FA1C1A" w:rsidRPr="00FA1C1A" w:rsidRDefault="00FA1C1A" w:rsidP="00FA1C1A">
            <w:pPr>
              <w:spacing w:before="120" w:after="120"/>
              <w:jc w:val="both"/>
              <w:rPr>
                <w:rFonts w:eastAsia="Times New Roman" w:cs="Arial"/>
                <w:lang w:eastAsia="en-ZA"/>
              </w:rPr>
            </w:pPr>
            <w:r w:rsidRPr="00FA1C1A">
              <w:rPr>
                <w:rFonts w:eastAsia="Times New Roman" w:cs="Arial"/>
                <w:lang w:eastAsia="en-ZA"/>
              </w:rPr>
              <w:t>9.4%</w:t>
            </w:r>
          </w:p>
        </w:tc>
      </w:tr>
      <w:tr w:rsidR="00FA1C1A" w:rsidRPr="00FA1C1A" w14:paraId="4A69B562" w14:textId="77777777" w:rsidTr="00FA1C1A">
        <w:trPr>
          <w:tblCellSpacing w:w="15" w:type="dxa"/>
        </w:trPr>
        <w:tc>
          <w:tcPr>
            <w:tcW w:w="0" w:type="auto"/>
            <w:vAlign w:val="center"/>
            <w:hideMark/>
          </w:tcPr>
          <w:p w14:paraId="4860D309" w14:textId="77777777" w:rsidR="00FA1C1A" w:rsidRPr="00FA1C1A" w:rsidRDefault="00FA1C1A" w:rsidP="00FA1C1A">
            <w:pPr>
              <w:spacing w:before="120" w:after="120"/>
              <w:jc w:val="both"/>
              <w:rPr>
                <w:rFonts w:eastAsia="Times New Roman" w:cs="Arial"/>
                <w:lang w:eastAsia="en-ZA"/>
              </w:rPr>
            </w:pPr>
            <w:r w:rsidRPr="00FA1C1A">
              <w:rPr>
                <w:rFonts w:eastAsia="Times New Roman" w:cs="Arial"/>
                <w:lang w:eastAsia="en-ZA"/>
              </w:rPr>
              <w:t>1997</w:t>
            </w:r>
          </w:p>
        </w:tc>
        <w:tc>
          <w:tcPr>
            <w:tcW w:w="0" w:type="auto"/>
            <w:vAlign w:val="center"/>
            <w:hideMark/>
          </w:tcPr>
          <w:p w14:paraId="458CECEA" w14:textId="77777777" w:rsidR="00FA1C1A" w:rsidRPr="00FA1C1A" w:rsidRDefault="00FA1C1A" w:rsidP="00FA1C1A">
            <w:pPr>
              <w:spacing w:before="120" w:after="120"/>
              <w:jc w:val="both"/>
              <w:rPr>
                <w:rFonts w:eastAsia="Times New Roman" w:cs="Arial"/>
                <w:lang w:eastAsia="en-ZA"/>
              </w:rPr>
            </w:pPr>
            <w:r w:rsidRPr="00FA1C1A">
              <w:rPr>
                <w:rFonts w:eastAsia="Times New Roman" w:cs="Arial"/>
                <w:lang w:eastAsia="en-ZA"/>
              </w:rPr>
              <w:t>-4.5%</w:t>
            </w:r>
          </w:p>
        </w:tc>
      </w:tr>
      <w:tr w:rsidR="00FA1C1A" w:rsidRPr="00FA1C1A" w14:paraId="0546CD2E" w14:textId="77777777" w:rsidTr="00FA1C1A">
        <w:trPr>
          <w:tblCellSpacing w:w="15" w:type="dxa"/>
        </w:trPr>
        <w:tc>
          <w:tcPr>
            <w:tcW w:w="0" w:type="auto"/>
            <w:vAlign w:val="center"/>
            <w:hideMark/>
          </w:tcPr>
          <w:p w14:paraId="54604B6A" w14:textId="77777777" w:rsidR="00FA1C1A" w:rsidRPr="00FA1C1A" w:rsidRDefault="00FA1C1A" w:rsidP="00FA1C1A">
            <w:pPr>
              <w:spacing w:before="120" w:after="120"/>
              <w:jc w:val="both"/>
              <w:rPr>
                <w:rFonts w:eastAsia="Times New Roman" w:cs="Arial"/>
                <w:lang w:eastAsia="en-ZA"/>
              </w:rPr>
            </w:pPr>
            <w:r w:rsidRPr="00FA1C1A">
              <w:rPr>
                <w:rFonts w:eastAsia="Times New Roman" w:cs="Arial"/>
                <w:lang w:eastAsia="en-ZA"/>
              </w:rPr>
              <w:t>1998</w:t>
            </w:r>
          </w:p>
        </w:tc>
        <w:tc>
          <w:tcPr>
            <w:tcW w:w="0" w:type="auto"/>
            <w:vAlign w:val="center"/>
            <w:hideMark/>
          </w:tcPr>
          <w:p w14:paraId="0D3A010B" w14:textId="77777777" w:rsidR="00FA1C1A" w:rsidRPr="00FA1C1A" w:rsidRDefault="00FA1C1A" w:rsidP="00FA1C1A">
            <w:pPr>
              <w:spacing w:before="120" w:after="120"/>
              <w:jc w:val="both"/>
              <w:rPr>
                <w:rFonts w:eastAsia="Times New Roman" w:cs="Arial"/>
                <w:lang w:eastAsia="en-ZA"/>
              </w:rPr>
            </w:pPr>
            <w:r w:rsidRPr="00FA1C1A">
              <w:rPr>
                <w:rFonts w:eastAsia="Times New Roman" w:cs="Arial"/>
                <w:lang w:eastAsia="en-ZA"/>
              </w:rPr>
              <w:t>-10.0%</w:t>
            </w:r>
          </w:p>
        </w:tc>
      </w:tr>
      <w:tr w:rsidR="00FA1C1A" w:rsidRPr="00FA1C1A" w14:paraId="282B4167" w14:textId="77777777" w:rsidTr="00FA1C1A">
        <w:trPr>
          <w:tblCellSpacing w:w="15" w:type="dxa"/>
        </w:trPr>
        <w:tc>
          <w:tcPr>
            <w:tcW w:w="0" w:type="auto"/>
            <w:vAlign w:val="center"/>
            <w:hideMark/>
          </w:tcPr>
          <w:p w14:paraId="083A0A72" w14:textId="77777777" w:rsidR="00FA1C1A" w:rsidRPr="00FA1C1A" w:rsidRDefault="00FA1C1A" w:rsidP="00FA1C1A">
            <w:pPr>
              <w:spacing w:before="120" w:after="120"/>
              <w:jc w:val="both"/>
              <w:rPr>
                <w:rFonts w:eastAsia="Times New Roman" w:cs="Arial"/>
                <w:lang w:eastAsia="en-ZA"/>
              </w:rPr>
            </w:pPr>
            <w:r w:rsidRPr="00FA1C1A">
              <w:rPr>
                <w:rFonts w:eastAsia="Times New Roman" w:cs="Arial"/>
                <w:lang w:eastAsia="en-ZA"/>
              </w:rPr>
              <w:t>1999</w:t>
            </w:r>
          </w:p>
        </w:tc>
        <w:tc>
          <w:tcPr>
            <w:tcW w:w="0" w:type="auto"/>
            <w:vAlign w:val="center"/>
            <w:hideMark/>
          </w:tcPr>
          <w:p w14:paraId="35AF7BC0" w14:textId="77777777" w:rsidR="00FA1C1A" w:rsidRPr="00FA1C1A" w:rsidRDefault="00FA1C1A" w:rsidP="00FA1C1A">
            <w:pPr>
              <w:spacing w:before="120" w:after="120"/>
              <w:jc w:val="both"/>
              <w:rPr>
                <w:rFonts w:eastAsia="Times New Roman" w:cs="Arial"/>
                <w:lang w:eastAsia="en-ZA"/>
              </w:rPr>
            </w:pPr>
            <w:r w:rsidRPr="00FA1C1A">
              <w:rPr>
                <w:rFonts w:eastAsia="Times New Roman" w:cs="Arial"/>
                <w:lang w:eastAsia="en-ZA"/>
              </w:rPr>
              <w:t>61.4%</w:t>
            </w:r>
          </w:p>
        </w:tc>
      </w:tr>
      <w:tr w:rsidR="00FA1C1A" w:rsidRPr="00FA1C1A" w14:paraId="0A6998DE" w14:textId="77777777" w:rsidTr="00FA1C1A">
        <w:trPr>
          <w:tblCellSpacing w:w="15" w:type="dxa"/>
        </w:trPr>
        <w:tc>
          <w:tcPr>
            <w:tcW w:w="0" w:type="auto"/>
            <w:vAlign w:val="center"/>
            <w:hideMark/>
          </w:tcPr>
          <w:p w14:paraId="1E78DF4B" w14:textId="77777777" w:rsidR="00FA1C1A" w:rsidRPr="00FA1C1A" w:rsidRDefault="00FA1C1A" w:rsidP="00FA1C1A">
            <w:pPr>
              <w:spacing w:before="120" w:after="120"/>
              <w:jc w:val="both"/>
              <w:rPr>
                <w:rFonts w:eastAsia="Times New Roman" w:cs="Arial"/>
                <w:lang w:eastAsia="en-ZA"/>
              </w:rPr>
            </w:pPr>
            <w:r w:rsidRPr="00FA1C1A">
              <w:rPr>
                <w:rFonts w:eastAsia="Times New Roman" w:cs="Arial"/>
                <w:lang w:eastAsia="en-ZA"/>
              </w:rPr>
              <w:t>2000</w:t>
            </w:r>
          </w:p>
        </w:tc>
        <w:tc>
          <w:tcPr>
            <w:tcW w:w="0" w:type="auto"/>
            <w:vAlign w:val="center"/>
            <w:hideMark/>
          </w:tcPr>
          <w:p w14:paraId="1E1AEFAE" w14:textId="77777777" w:rsidR="00FA1C1A" w:rsidRPr="00FA1C1A" w:rsidRDefault="00FA1C1A" w:rsidP="00FA1C1A">
            <w:pPr>
              <w:spacing w:before="120" w:after="120"/>
              <w:jc w:val="both"/>
              <w:rPr>
                <w:rFonts w:eastAsia="Times New Roman" w:cs="Arial"/>
                <w:lang w:eastAsia="en-ZA"/>
              </w:rPr>
            </w:pPr>
            <w:r w:rsidRPr="00FA1C1A">
              <w:rPr>
                <w:rFonts w:eastAsia="Times New Roman" w:cs="Arial"/>
                <w:lang w:eastAsia="en-ZA"/>
              </w:rPr>
              <w:t>0.0%</w:t>
            </w:r>
          </w:p>
        </w:tc>
      </w:tr>
      <w:tr w:rsidR="00FA1C1A" w:rsidRPr="00FA1C1A" w14:paraId="521749CE" w14:textId="77777777" w:rsidTr="00FA1C1A">
        <w:trPr>
          <w:tblCellSpacing w:w="15" w:type="dxa"/>
        </w:trPr>
        <w:tc>
          <w:tcPr>
            <w:tcW w:w="0" w:type="auto"/>
            <w:vAlign w:val="center"/>
            <w:hideMark/>
          </w:tcPr>
          <w:p w14:paraId="101A2809" w14:textId="77777777" w:rsidR="00FA1C1A" w:rsidRPr="00FA1C1A" w:rsidRDefault="00FA1C1A" w:rsidP="00FA1C1A">
            <w:pPr>
              <w:spacing w:before="120" w:after="120"/>
              <w:jc w:val="both"/>
              <w:rPr>
                <w:rFonts w:eastAsia="Times New Roman" w:cs="Arial"/>
                <w:lang w:eastAsia="en-ZA"/>
              </w:rPr>
            </w:pPr>
            <w:r w:rsidRPr="00FA1C1A">
              <w:rPr>
                <w:rFonts w:eastAsia="Times New Roman" w:cs="Arial"/>
                <w:lang w:eastAsia="en-ZA"/>
              </w:rPr>
              <w:t>2001</w:t>
            </w:r>
          </w:p>
        </w:tc>
        <w:tc>
          <w:tcPr>
            <w:tcW w:w="0" w:type="auto"/>
            <w:vAlign w:val="center"/>
            <w:hideMark/>
          </w:tcPr>
          <w:p w14:paraId="567E9B43" w14:textId="77777777" w:rsidR="00FA1C1A" w:rsidRPr="00FA1C1A" w:rsidRDefault="00FA1C1A" w:rsidP="00FA1C1A">
            <w:pPr>
              <w:spacing w:before="120" w:after="120"/>
              <w:jc w:val="both"/>
              <w:rPr>
                <w:rFonts w:eastAsia="Times New Roman" w:cs="Arial"/>
                <w:lang w:eastAsia="en-ZA"/>
              </w:rPr>
            </w:pPr>
            <w:r w:rsidRPr="00FA1C1A">
              <w:rPr>
                <w:rFonts w:eastAsia="Times New Roman" w:cs="Arial"/>
                <w:lang w:eastAsia="en-ZA"/>
              </w:rPr>
              <w:t>29.3%</w:t>
            </w:r>
          </w:p>
        </w:tc>
      </w:tr>
      <w:tr w:rsidR="00FA1C1A" w:rsidRPr="00FA1C1A" w14:paraId="4B8DC8BC" w14:textId="77777777" w:rsidTr="00FA1C1A">
        <w:trPr>
          <w:tblCellSpacing w:w="15" w:type="dxa"/>
        </w:trPr>
        <w:tc>
          <w:tcPr>
            <w:tcW w:w="0" w:type="auto"/>
            <w:vAlign w:val="center"/>
            <w:hideMark/>
          </w:tcPr>
          <w:p w14:paraId="62775653" w14:textId="77777777" w:rsidR="00FA1C1A" w:rsidRPr="00FA1C1A" w:rsidRDefault="00FA1C1A" w:rsidP="00FA1C1A">
            <w:pPr>
              <w:spacing w:before="120" w:after="120"/>
              <w:jc w:val="both"/>
              <w:rPr>
                <w:rFonts w:eastAsia="Times New Roman" w:cs="Arial"/>
                <w:lang w:eastAsia="en-ZA"/>
              </w:rPr>
            </w:pPr>
            <w:r w:rsidRPr="00FA1C1A">
              <w:rPr>
                <w:rFonts w:eastAsia="Times New Roman" w:cs="Arial"/>
                <w:lang w:eastAsia="en-ZA"/>
              </w:rPr>
              <w:t>2002</w:t>
            </w:r>
          </w:p>
        </w:tc>
        <w:tc>
          <w:tcPr>
            <w:tcW w:w="0" w:type="auto"/>
            <w:vAlign w:val="center"/>
            <w:hideMark/>
          </w:tcPr>
          <w:p w14:paraId="17379CF9" w14:textId="77777777" w:rsidR="00FA1C1A" w:rsidRPr="00FA1C1A" w:rsidRDefault="00FA1C1A" w:rsidP="00FA1C1A">
            <w:pPr>
              <w:spacing w:before="120" w:after="120"/>
              <w:jc w:val="both"/>
              <w:rPr>
                <w:rFonts w:eastAsia="Times New Roman" w:cs="Arial"/>
                <w:lang w:eastAsia="en-ZA"/>
              </w:rPr>
            </w:pPr>
            <w:r w:rsidRPr="00FA1C1A">
              <w:rPr>
                <w:rFonts w:eastAsia="Times New Roman" w:cs="Arial"/>
                <w:lang w:eastAsia="en-ZA"/>
              </w:rPr>
              <w:t>-8.1%</w:t>
            </w:r>
          </w:p>
        </w:tc>
      </w:tr>
      <w:tr w:rsidR="00FA1C1A" w:rsidRPr="00FA1C1A" w14:paraId="7B0D1661" w14:textId="77777777" w:rsidTr="00FA1C1A">
        <w:trPr>
          <w:tblCellSpacing w:w="15" w:type="dxa"/>
        </w:trPr>
        <w:tc>
          <w:tcPr>
            <w:tcW w:w="0" w:type="auto"/>
            <w:vAlign w:val="center"/>
            <w:hideMark/>
          </w:tcPr>
          <w:p w14:paraId="195AAAB1" w14:textId="77777777" w:rsidR="00FA1C1A" w:rsidRPr="00FA1C1A" w:rsidRDefault="00FA1C1A" w:rsidP="00FA1C1A">
            <w:pPr>
              <w:spacing w:before="120" w:after="120"/>
              <w:jc w:val="both"/>
              <w:rPr>
                <w:rFonts w:eastAsia="Times New Roman" w:cs="Arial"/>
                <w:lang w:eastAsia="en-ZA"/>
              </w:rPr>
            </w:pPr>
            <w:r w:rsidRPr="00FA1C1A">
              <w:rPr>
                <w:rFonts w:eastAsia="Times New Roman" w:cs="Arial"/>
                <w:lang w:eastAsia="en-ZA"/>
              </w:rPr>
              <w:t>2003</w:t>
            </w:r>
          </w:p>
        </w:tc>
        <w:tc>
          <w:tcPr>
            <w:tcW w:w="0" w:type="auto"/>
            <w:vAlign w:val="center"/>
            <w:hideMark/>
          </w:tcPr>
          <w:p w14:paraId="46530C56" w14:textId="77777777" w:rsidR="00FA1C1A" w:rsidRPr="00FA1C1A" w:rsidRDefault="00FA1C1A" w:rsidP="00FA1C1A">
            <w:pPr>
              <w:spacing w:before="120" w:after="120"/>
              <w:jc w:val="both"/>
              <w:rPr>
                <w:rFonts w:eastAsia="Times New Roman" w:cs="Arial"/>
                <w:lang w:eastAsia="en-ZA"/>
              </w:rPr>
            </w:pPr>
            <w:r w:rsidRPr="00FA1C1A">
              <w:rPr>
                <w:rFonts w:eastAsia="Times New Roman" w:cs="Arial"/>
                <w:lang w:eastAsia="en-ZA"/>
              </w:rPr>
              <w:t>16.1%</w:t>
            </w:r>
          </w:p>
        </w:tc>
      </w:tr>
      <w:tr w:rsidR="00FA1C1A" w:rsidRPr="00FA1C1A" w14:paraId="2AA09974" w14:textId="77777777" w:rsidTr="00FA1C1A">
        <w:trPr>
          <w:tblCellSpacing w:w="15" w:type="dxa"/>
        </w:trPr>
        <w:tc>
          <w:tcPr>
            <w:tcW w:w="0" w:type="auto"/>
            <w:vAlign w:val="center"/>
            <w:hideMark/>
          </w:tcPr>
          <w:p w14:paraId="402090F5" w14:textId="77777777" w:rsidR="00FA1C1A" w:rsidRPr="00FA1C1A" w:rsidRDefault="00FA1C1A" w:rsidP="00FA1C1A">
            <w:pPr>
              <w:spacing w:before="120" w:after="120"/>
              <w:jc w:val="both"/>
              <w:rPr>
                <w:rFonts w:eastAsia="Times New Roman" w:cs="Arial"/>
                <w:lang w:eastAsia="en-ZA"/>
              </w:rPr>
            </w:pPr>
            <w:r w:rsidRPr="00FA1C1A">
              <w:rPr>
                <w:rFonts w:eastAsia="Times New Roman" w:cs="Arial"/>
                <w:lang w:eastAsia="en-ZA"/>
              </w:rPr>
              <w:t>2004</w:t>
            </w:r>
          </w:p>
        </w:tc>
        <w:tc>
          <w:tcPr>
            <w:tcW w:w="0" w:type="auto"/>
            <w:vAlign w:val="center"/>
            <w:hideMark/>
          </w:tcPr>
          <w:p w14:paraId="3C65DB73" w14:textId="77777777" w:rsidR="00FA1C1A" w:rsidRPr="00FA1C1A" w:rsidRDefault="00FA1C1A" w:rsidP="00FA1C1A">
            <w:pPr>
              <w:spacing w:before="120" w:after="120"/>
              <w:jc w:val="both"/>
              <w:rPr>
                <w:rFonts w:eastAsia="Times New Roman" w:cs="Arial"/>
                <w:lang w:eastAsia="en-ZA"/>
              </w:rPr>
            </w:pPr>
            <w:r w:rsidRPr="00FA1C1A">
              <w:rPr>
                <w:rFonts w:eastAsia="Times New Roman" w:cs="Arial"/>
                <w:lang w:eastAsia="en-ZA"/>
              </w:rPr>
              <w:t>25.4%</w:t>
            </w:r>
          </w:p>
        </w:tc>
      </w:tr>
      <w:tr w:rsidR="00FA1C1A" w:rsidRPr="00FA1C1A" w14:paraId="56BB3479" w14:textId="77777777" w:rsidTr="00FA1C1A">
        <w:trPr>
          <w:tblCellSpacing w:w="15" w:type="dxa"/>
        </w:trPr>
        <w:tc>
          <w:tcPr>
            <w:tcW w:w="0" w:type="auto"/>
            <w:vAlign w:val="center"/>
            <w:hideMark/>
          </w:tcPr>
          <w:p w14:paraId="6E2BC656" w14:textId="77777777" w:rsidR="00FA1C1A" w:rsidRPr="00FA1C1A" w:rsidRDefault="00FA1C1A" w:rsidP="00FA1C1A">
            <w:pPr>
              <w:spacing w:before="120" w:after="120"/>
              <w:jc w:val="both"/>
              <w:rPr>
                <w:rFonts w:eastAsia="Times New Roman" w:cs="Arial"/>
                <w:lang w:eastAsia="en-ZA"/>
              </w:rPr>
            </w:pPr>
            <w:r w:rsidRPr="00FA1C1A">
              <w:rPr>
                <w:rFonts w:eastAsia="Times New Roman" w:cs="Arial"/>
                <w:lang w:eastAsia="en-ZA"/>
              </w:rPr>
              <w:t>2005</w:t>
            </w:r>
          </w:p>
        </w:tc>
        <w:tc>
          <w:tcPr>
            <w:tcW w:w="0" w:type="auto"/>
            <w:vAlign w:val="center"/>
            <w:hideMark/>
          </w:tcPr>
          <w:p w14:paraId="2064D139" w14:textId="77777777" w:rsidR="00FA1C1A" w:rsidRPr="00FA1C1A" w:rsidRDefault="00FA1C1A" w:rsidP="00FA1C1A">
            <w:pPr>
              <w:spacing w:before="120" w:after="120"/>
              <w:jc w:val="both"/>
              <w:rPr>
                <w:rFonts w:eastAsia="Times New Roman" w:cs="Arial"/>
                <w:lang w:eastAsia="en-ZA"/>
              </w:rPr>
            </w:pPr>
            <w:r w:rsidRPr="00FA1C1A">
              <w:rPr>
                <w:rFonts w:eastAsia="Times New Roman" w:cs="Arial"/>
                <w:lang w:eastAsia="en-ZA"/>
              </w:rPr>
              <w:t>47.3%</w:t>
            </w:r>
          </w:p>
        </w:tc>
      </w:tr>
      <w:tr w:rsidR="00FA1C1A" w:rsidRPr="00FA1C1A" w14:paraId="2645A4AA" w14:textId="77777777" w:rsidTr="00FA1C1A">
        <w:trPr>
          <w:tblCellSpacing w:w="15" w:type="dxa"/>
        </w:trPr>
        <w:tc>
          <w:tcPr>
            <w:tcW w:w="0" w:type="auto"/>
            <w:vAlign w:val="center"/>
            <w:hideMark/>
          </w:tcPr>
          <w:p w14:paraId="66D8EBB5" w14:textId="77777777" w:rsidR="00FA1C1A" w:rsidRPr="00FA1C1A" w:rsidRDefault="00FA1C1A" w:rsidP="00FA1C1A">
            <w:pPr>
              <w:spacing w:before="120" w:after="120"/>
              <w:jc w:val="both"/>
              <w:rPr>
                <w:rFonts w:eastAsia="Times New Roman" w:cs="Arial"/>
                <w:lang w:eastAsia="en-ZA"/>
              </w:rPr>
            </w:pPr>
            <w:r w:rsidRPr="00FA1C1A">
              <w:rPr>
                <w:rFonts w:eastAsia="Times New Roman" w:cs="Arial"/>
                <w:lang w:eastAsia="en-ZA"/>
              </w:rPr>
              <w:t>2006</w:t>
            </w:r>
          </w:p>
        </w:tc>
        <w:tc>
          <w:tcPr>
            <w:tcW w:w="0" w:type="auto"/>
            <w:vAlign w:val="center"/>
            <w:hideMark/>
          </w:tcPr>
          <w:p w14:paraId="2AD77238" w14:textId="77777777" w:rsidR="00FA1C1A" w:rsidRPr="00FA1C1A" w:rsidRDefault="00FA1C1A" w:rsidP="00FA1C1A">
            <w:pPr>
              <w:spacing w:before="120" w:after="120"/>
              <w:jc w:val="both"/>
              <w:rPr>
                <w:rFonts w:eastAsia="Times New Roman" w:cs="Arial"/>
                <w:lang w:eastAsia="en-ZA"/>
              </w:rPr>
            </w:pPr>
            <w:r w:rsidRPr="00FA1C1A">
              <w:rPr>
                <w:rFonts w:eastAsia="Times New Roman" w:cs="Arial"/>
                <w:lang w:eastAsia="en-ZA"/>
              </w:rPr>
              <w:t>41.2%</w:t>
            </w:r>
          </w:p>
        </w:tc>
      </w:tr>
      <w:tr w:rsidR="00FA1C1A" w:rsidRPr="00FA1C1A" w14:paraId="38A882FD" w14:textId="77777777" w:rsidTr="00FA1C1A">
        <w:trPr>
          <w:tblCellSpacing w:w="15" w:type="dxa"/>
        </w:trPr>
        <w:tc>
          <w:tcPr>
            <w:tcW w:w="0" w:type="auto"/>
            <w:vAlign w:val="center"/>
            <w:hideMark/>
          </w:tcPr>
          <w:p w14:paraId="58CACAD3" w14:textId="77777777" w:rsidR="00FA1C1A" w:rsidRPr="00FA1C1A" w:rsidRDefault="00FA1C1A" w:rsidP="00FA1C1A">
            <w:pPr>
              <w:spacing w:before="120" w:after="120"/>
              <w:jc w:val="both"/>
              <w:rPr>
                <w:rFonts w:eastAsia="Times New Roman" w:cs="Arial"/>
                <w:lang w:eastAsia="en-ZA"/>
              </w:rPr>
            </w:pPr>
            <w:r w:rsidRPr="00FA1C1A">
              <w:rPr>
                <w:rFonts w:eastAsia="Times New Roman" w:cs="Arial"/>
                <w:lang w:eastAsia="en-ZA"/>
              </w:rPr>
              <w:t>2007</w:t>
            </w:r>
          </w:p>
        </w:tc>
        <w:tc>
          <w:tcPr>
            <w:tcW w:w="0" w:type="auto"/>
            <w:vAlign w:val="center"/>
            <w:hideMark/>
          </w:tcPr>
          <w:p w14:paraId="76D3DBE9" w14:textId="77777777" w:rsidR="00FA1C1A" w:rsidRPr="00FA1C1A" w:rsidRDefault="00FA1C1A" w:rsidP="00FA1C1A">
            <w:pPr>
              <w:spacing w:before="120" w:after="120"/>
              <w:jc w:val="both"/>
              <w:rPr>
                <w:rFonts w:eastAsia="Times New Roman" w:cs="Arial"/>
                <w:lang w:eastAsia="en-ZA"/>
              </w:rPr>
            </w:pPr>
            <w:r w:rsidRPr="00FA1C1A">
              <w:rPr>
                <w:rFonts w:eastAsia="Times New Roman" w:cs="Arial"/>
                <w:lang w:eastAsia="en-ZA"/>
              </w:rPr>
              <w:t>19.2%</w:t>
            </w:r>
          </w:p>
        </w:tc>
      </w:tr>
      <w:tr w:rsidR="00FA1C1A" w:rsidRPr="00FA1C1A" w14:paraId="2B28C778" w14:textId="77777777" w:rsidTr="00FA1C1A">
        <w:trPr>
          <w:tblCellSpacing w:w="15" w:type="dxa"/>
        </w:trPr>
        <w:tc>
          <w:tcPr>
            <w:tcW w:w="0" w:type="auto"/>
            <w:vAlign w:val="center"/>
            <w:hideMark/>
          </w:tcPr>
          <w:p w14:paraId="33B5FBCD" w14:textId="77777777" w:rsidR="00FA1C1A" w:rsidRPr="00FA1C1A" w:rsidRDefault="00FA1C1A" w:rsidP="00FA1C1A">
            <w:pPr>
              <w:spacing w:before="120" w:after="120"/>
              <w:jc w:val="both"/>
              <w:rPr>
                <w:rFonts w:eastAsia="Times New Roman" w:cs="Arial"/>
                <w:lang w:eastAsia="en-ZA"/>
              </w:rPr>
            </w:pPr>
            <w:r w:rsidRPr="00FA1C1A">
              <w:rPr>
                <w:rFonts w:eastAsia="Times New Roman" w:cs="Arial"/>
                <w:lang w:eastAsia="en-ZA"/>
              </w:rPr>
              <w:t>2008</w:t>
            </w:r>
          </w:p>
        </w:tc>
        <w:tc>
          <w:tcPr>
            <w:tcW w:w="0" w:type="auto"/>
            <w:vAlign w:val="center"/>
            <w:hideMark/>
          </w:tcPr>
          <w:p w14:paraId="6789C3C8" w14:textId="77777777" w:rsidR="00FA1C1A" w:rsidRPr="00FA1C1A" w:rsidRDefault="00FA1C1A" w:rsidP="00FA1C1A">
            <w:pPr>
              <w:spacing w:before="120" w:after="120"/>
              <w:jc w:val="both"/>
              <w:rPr>
                <w:rFonts w:eastAsia="Times New Roman" w:cs="Arial"/>
                <w:lang w:eastAsia="en-ZA"/>
              </w:rPr>
            </w:pPr>
            <w:r w:rsidRPr="00FA1C1A">
              <w:rPr>
                <w:rFonts w:eastAsia="Times New Roman" w:cs="Arial"/>
                <w:lang w:eastAsia="en-ZA"/>
              </w:rPr>
              <w:t>-23.2%</w:t>
            </w:r>
          </w:p>
        </w:tc>
      </w:tr>
      <w:tr w:rsidR="00FA1C1A" w:rsidRPr="00FA1C1A" w14:paraId="414E1430" w14:textId="77777777" w:rsidTr="00FA1C1A">
        <w:trPr>
          <w:tblCellSpacing w:w="15" w:type="dxa"/>
        </w:trPr>
        <w:tc>
          <w:tcPr>
            <w:tcW w:w="0" w:type="auto"/>
            <w:vAlign w:val="center"/>
            <w:hideMark/>
          </w:tcPr>
          <w:p w14:paraId="56790B14" w14:textId="77777777" w:rsidR="00FA1C1A" w:rsidRPr="00FA1C1A" w:rsidRDefault="00FA1C1A" w:rsidP="00FA1C1A">
            <w:pPr>
              <w:spacing w:before="120" w:after="120"/>
              <w:jc w:val="both"/>
              <w:rPr>
                <w:rFonts w:eastAsia="Times New Roman" w:cs="Arial"/>
                <w:lang w:eastAsia="en-ZA"/>
              </w:rPr>
            </w:pPr>
            <w:r w:rsidRPr="00FA1C1A">
              <w:rPr>
                <w:rFonts w:eastAsia="Times New Roman" w:cs="Arial"/>
                <w:lang w:eastAsia="en-ZA"/>
              </w:rPr>
              <w:t>2009</w:t>
            </w:r>
          </w:p>
        </w:tc>
        <w:tc>
          <w:tcPr>
            <w:tcW w:w="0" w:type="auto"/>
            <w:vAlign w:val="center"/>
            <w:hideMark/>
          </w:tcPr>
          <w:p w14:paraId="7CAAD8DA" w14:textId="77777777" w:rsidR="00FA1C1A" w:rsidRPr="00FA1C1A" w:rsidRDefault="00FA1C1A" w:rsidP="00FA1C1A">
            <w:pPr>
              <w:spacing w:before="120" w:after="120"/>
              <w:jc w:val="both"/>
              <w:rPr>
                <w:rFonts w:eastAsia="Times New Roman" w:cs="Arial"/>
                <w:lang w:eastAsia="en-ZA"/>
              </w:rPr>
            </w:pPr>
            <w:r w:rsidRPr="00FA1C1A">
              <w:rPr>
                <w:rFonts w:eastAsia="Times New Roman" w:cs="Arial"/>
                <w:lang w:eastAsia="en-ZA"/>
              </w:rPr>
              <w:t>32.1%</w:t>
            </w:r>
          </w:p>
        </w:tc>
      </w:tr>
      <w:tr w:rsidR="00FA1C1A" w:rsidRPr="00FA1C1A" w14:paraId="7FEA0394" w14:textId="77777777" w:rsidTr="00FA1C1A">
        <w:trPr>
          <w:tblCellSpacing w:w="15" w:type="dxa"/>
        </w:trPr>
        <w:tc>
          <w:tcPr>
            <w:tcW w:w="0" w:type="auto"/>
            <w:vAlign w:val="center"/>
            <w:hideMark/>
          </w:tcPr>
          <w:p w14:paraId="6B694BFA" w14:textId="77777777" w:rsidR="00FA1C1A" w:rsidRPr="00FA1C1A" w:rsidRDefault="00FA1C1A" w:rsidP="00FA1C1A">
            <w:pPr>
              <w:spacing w:before="120" w:after="120"/>
              <w:jc w:val="both"/>
              <w:rPr>
                <w:rFonts w:eastAsia="Times New Roman" w:cs="Arial"/>
                <w:lang w:eastAsia="en-ZA"/>
              </w:rPr>
            </w:pPr>
            <w:r w:rsidRPr="00FA1C1A">
              <w:rPr>
                <w:rFonts w:eastAsia="Times New Roman" w:cs="Arial"/>
                <w:lang w:eastAsia="en-ZA"/>
              </w:rPr>
              <w:t>2010</w:t>
            </w:r>
          </w:p>
        </w:tc>
        <w:tc>
          <w:tcPr>
            <w:tcW w:w="0" w:type="auto"/>
            <w:vAlign w:val="center"/>
            <w:hideMark/>
          </w:tcPr>
          <w:p w14:paraId="4194AE28" w14:textId="77777777" w:rsidR="00FA1C1A" w:rsidRPr="00FA1C1A" w:rsidRDefault="00FA1C1A" w:rsidP="00FA1C1A">
            <w:pPr>
              <w:spacing w:before="120" w:after="120"/>
              <w:jc w:val="both"/>
              <w:rPr>
                <w:rFonts w:eastAsia="Times New Roman" w:cs="Arial"/>
                <w:lang w:eastAsia="en-ZA"/>
              </w:rPr>
            </w:pPr>
            <w:r w:rsidRPr="00FA1C1A">
              <w:rPr>
                <w:rFonts w:eastAsia="Times New Roman" w:cs="Arial"/>
                <w:lang w:eastAsia="en-ZA"/>
              </w:rPr>
              <w:t>19.0%</w:t>
            </w:r>
          </w:p>
        </w:tc>
      </w:tr>
      <w:tr w:rsidR="00FA1C1A" w:rsidRPr="00FA1C1A" w14:paraId="225F5E00" w14:textId="77777777" w:rsidTr="00FA1C1A">
        <w:trPr>
          <w:tblCellSpacing w:w="15" w:type="dxa"/>
        </w:trPr>
        <w:tc>
          <w:tcPr>
            <w:tcW w:w="0" w:type="auto"/>
            <w:vAlign w:val="center"/>
            <w:hideMark/>
          </w:tcPr>
          <w:p w14:paraId="4F9836CE" w14:textId="77777777" w:rsidR="00FA1C1A" w:rsidRPr="00FA1C1A" w:rsidRDefault="00FA1C1A" w:rsidP="00FA1C1A">
            <w:pPr>
              <w:spacing w:before="120" w:after="120"/>
              <w:jc w:val="both"/>
              <w:rPr>
                <w:rFonts w:eastAsia="Times New Roman" w:cs="Arial"/>
                <w:lang w:eastAsia="en-ZA"/>
              </w:rPr>
            </w:pPr>
            <w:r w:rsidRPr="00FA1C1A">
              <w:rPr>
                <w:rFonts w:eastAsia="Times New Roman" w:cs="Arial"/>
                <w:lang w:eastAsia="en-ZA"/>
              </w:rPr>
              <w:t>2011</w:t>
            </w:r>
          </w:p>
        </w:tc>
        <w:tc>
          <w:tcPr>
            <w:tcW w:w="0" w:type="auto"/>
            <w:vAlign w:val="center"/>
            <w:hideMark/>
          </w:tcPr>
          <w:p w14:paraId="1D7B685C" w14:textId="77777777" w:rsidR="00FA1C1A" w:rsidRPr="00FA1C1A" w:rsidRDefault="00FA1C1A" w:rsidP="00FA1C1A">
            <w:pPr>
              <w:spacing w:before="120" w:after="120"/>
              <w:jc w:val="both"/>
              <w:rPr>
                <w:rFonts w:eastAsia="Times New Roman" w:cs="Arial"/>
                <w:lang w:eastAsia="en-ZA"/>
              </w:rPr>
            </w:pPr>
            <w:r w:rsidRPr="00FA1C1A">
              <w:rPr>
                <w:rFonts w:eastAsia="Times New Roman" w:cs="Arial"/>
                <w:lang w:eastAsia="en-ZA"/>
              </w:rPr>
              <w:t>2.6%</w:t>
            </w:r>
          </w:p>
        </w:tc>
      </w:tr>
      <w:tr w:rsidR="00FA1C1A" w:rsidRPr="00FA1C1A" w14:paraId="524C3805" w14:textId="77777777" w:rsidTr="00FA1C1A">
        <w:trPr>
          <w:tblCellSpacing w:w="15" w:type="dxa"/>
        </w:trPr>
        <w:tc>
          <w:tcPr>
            <w:tcW w:w="0" w:type="auto"/>
            <w:vAlign w:val="center"/>
            <w:hideMark/>
          </w:tcPr>
          <w:p w14:paraId="3FA5F1E7" w14:textId="77777777" w:rsidR="00FA1C1A" w:rsidRPr="00FA1C1A" w:rsidRDefault="00FA1C1A" w:rsidP="00FA1C1A">
            <w:pPr>
              <w:spacing w:before="120" w:after="120"/>
              <w:jc w:val="both"/>
              <w:rPr>
                <w:rFonts w:eastAsia="Times New Roman" w:cs="Arial"/>
                <w:lang w:eastAsia="en-ZA"/>
              </w:rPr>
            </w:pPr>
            <w:r w:rsidRPr="00FA1C1A">
              <w:rPr>
                <w:rFonts w:eastAsia="Times New Roman" w:cs="Arial"/>
                <w:lang w:eastAsia="en-ZA"/>
              </w:rPr>
              <w:t>2012</w:t>
            </w:r>
          </w:p>
        </w:tc>
        <w:tc>
          <w:tcPr>
            <w:tcW w:w="0" w:type="auto"/>
            <w:vAlign w:val="center"/>
            <w:hideMark/>
          </w:tcPr>
          <w:p w14:paraId="5C3E04D5" w14:textId="77777777" w:rsidR="00FA1C1A" w:rsidRPr="00FA1C1A" w:rsidRDefault="00FA1C1A" w:rsidP="00FA1C1A">
            <w:pPr>
              <w:spacing w:before="120" w:after="120"/>
              <w:jc w:val="both"/>
              <w:rPr>
                <w:rFonts w:eastAsia="Times New Roman" w:cs="Arial"/>
                <w:lang w:eastAsia="en-ZA"/>
              </w:rPr>
            </w:pPr>
            <w:r w:rsidRPr="00FA1C1A">
              <w:rPr>
                <w:rFonts w:eastAsia="Times New Roman" w:cs="Arial"/>
                <w:lang w:eastAsia="en-ZA"/>
              </w:rPr>
              <w:t>26.7%</w:t>
            </w:r>
          </w:p>
        </w:tc>
      </w:tr>
      <w:tr w:rsidR="00FA1C1A" w:rsidRPr="00FA1C1A" w14:paraId="12C11674" w14:textId="77777777" w:rsidTr="00FA1C1A">
        <w:trPr>
          <w:tblCellSpacing w:w="15" w:type="dxa"/>
        </w:trPr>
        <w:tc>
          <w:tcPr>
            <w:tcW w:w="0" w:type="auto"/>
            <w:vAlign w:val="center"/>
            <w:hideMark/>
          </w:tcPr>
          <w:p w14:paraId="510DED16" w14:textId="77777777" w:rsidR="00FA1C1A" w:rsidRPr="00FA1C1A" w:rsidRDefault="00FA1C1A" w:rsidP="00FA1C1A">
            <w:pPr>
              <w:spacing w:before="120" w:after="120"/>
              <w:jc w:val="both"/>
              <w:rPr>
                <w:rFonts w:eastAsia="Times New Roman" w:cs="Arial"/>
                <w:lang w:eastAsia="en-ZA"/>
              </w:rPr>
            </w:pPr>
            <w:r w:rsidRPr="00FA1C1A">
              <w:rPr>
                <w:rFonts w:eastAsia="Times New Roman" w:cs="Arial"/>
                <w:lang w:eastAsia="en-ZA"/>
              </w:rPr>
              <w:t>2013</w:t>
            </w:r>
          </w:p>
        </w:tc>
        <w:tc>
          <w:tcPr>
            <w:tcW w:w="0" w:type="auto"/>
            <w:vAlign w:val="center"/>
            <w:hideMark/>
          </w:tcPr>
          <w:p w14:paraId="1E4D3398" w14:textId="77777777" w:rsidR="00FA1C1A" w:rsidRPr="00FA1C1A" w:rsidRDefault="00FA1C1A" w:rsidP="00FA1C1A">
            <w:pPr>
              <w:spacing w:before="120" w:after="120"/>
              <w:jc w:val="both"/>
              <w:rPr>
                <w:rFonts w:eastAsia="Times New Roman" w:cs="Arial"/>
                <w:lang w:eastAsia="en-ZA"/>
              </w:rPr>
            </w:pPr>
            <w:r w:rsidRPr="00FA1C1A">
              <w:rPr>
                <w:rFonts w:eastAsia="Times New Roman" w:cs="Arial"/>
                <w:lang w:eastAsia="en-ZA"/>
              </w:rPr>
              <w:t>21.4%</w:t>
            </w:r>
          </w:p>
        </w:tc>
      </w:tr>
      <w:tr w:rsidR="00FA1C1A" w:rsidRPr="00FA1C1A" w14:paraId="4C8E1C3E" w14:textId="77777777" w:rsidTr="00FA1C1A">
        <w:trPr>
          <w:tblCellSpacing w:w="15" w:type="dxa"/>
        </w:trPr>
        <w:tc>
          <w:tcPr>
            <w:tcW w:w="0" w:type="auto"/>
            <w:vAlign w:val="center"/>
            <w:hideMark/>
          </w:tcPr>
          <w:p w14:paraId="14871784" w14:textId="77777777" w:rsidR="00FA1C1A" w:rsidRPr="00FA1C1A" w:rsidRDefault="00FA1C1A" w:rsidP="00FA1C1A">
            <w:pPr>
              <w:spacing w:before="120" w:after="120"/>
              <w:jc w:val="both"/>
              <w:rPr>
                <w:rFonts w:eastAsia="Times New Roman" w:cs="Arial"/>
                <w:lang w:eastAsia="en-ZA"/>
              </w:rPr>
            </w:pPr>
            <w:r w:rsidRPr="00FA1C1A">
              <w:rPr>
                <w:rFonts w:eastAsia="Times New Roman" w:cs="Arial"/>
                <w:lang w:eastAsia="en-ZA"/>
              </w:rPr>
              <w:t>2014</w:t>
            </w:r>
          </w:p>
        </w:tc>
        <w:tc>
          <w:tcPr>
            <w:tcW w:w="0" w:type="auto"/>
            <w:vAlign w:val="center"/>
            <w:hideMark/>
          </w:tcPr>
          <w:p w14:paraId="1D9DDF59" w14:textId="77777777" w:rsidR="00FA1C1A" w:rsidRPr="00FA1C1A" w:rsidRDefault="00FA1C1A" w:rsidP="00FA1C1A">
            <w:pPr>
              <w:spacing w:before="120" w:after="120"/>
              <w:jc w:val="both"/>
              <w:rPr>
                <w:rFonts w:eastAsia="Times New Roman" w:cs="Arial"/>
                <w:lang w:eastAsia="en-ZA"/>
              </w:rPr>
            </w:pPr>
            <w:r w:rsidRPr="00FA1C1A">
              <w:rPr>
                <w:rFonts w:eastAsia="Times New Roman" w:cs="Arial"/>
                <w:lang w:eastAsia="en-ZA"/>
              </w:rPr>
              <w:t>10.9%</w:t>
            </w:r>
          </w:p>
        </w:tc>
      </w:tr>
      <w:tr w:rsidR="00FA1C1A" w:rsidRPr="00FA1C1A" w14:paraId="38FABD6B" w14:textId="77777777" w:rsidTr="00FA1C1A">
        <w:trPr>
          <w:tblCellSpacing w:w="15" w:type="dxa"/>
        </w:trPr>
        <w:tc>
          <w:tcPr>
            <w:tcW w:w="0" w:type="auto"/>
            <w:vAlign w:val="center"/>
            <w:hideMark/>
          </w:tcPr>
          <w:p w14:paraId="02DE583C" w14:textId="77777777" w:rsidR="00FA1C1A" w:rsidRPr="00FA1C1A" w:rsidRDefault="00FA1C1A" w:rsidP="00FA1C1A">
            <w:pPr>
              <w:spacing w:before="120" w:after="120"/>
              <w:jc w:val="both"/>
              <w:rPr>
                <w:rFonts w:eastAsia="Times New Roman" w:cs="Arial"/>
                <w:lang w:eastAsia="en-ZA"/>
              </w:rPr>
            </w:pPr>
            <w:r w:rsidRPr="00FA1C1A">
              <w:rPr>
                <w:rFonts w:eastAsia="Times New Roman" w:cs="Arial"/>
                <w:lang w:eastAsia="en-ZA"/>
              </w:rPr>
              <w:t>2015</w:t>
            </w:r>
          </w:p>
        </w:tc>
        <w:tc>
          <w:tcPr>
            <w:tcW w:w="0" w:type="auto"/>
            <w:vAlign w:val="center"/>
            <w:hideMark/>
          </w:tcPr>
          <w:p w14:paraId="26EBA3E1" w14:textId="77777777" w:rsidR="00FA1C1A" w:rsidRPr="00FA1C1A" w:rsidRDefault="00FA1C1A" w:rsidP="00FA1C1A">
            <w:pPr>
              <w:spacing w:before="120" w:after="120"/>
              <w:jc w:val="both"/>
              <w:rPr>
                <w:rFonts w:eastAsia="Times New Roman" w:cs="Arial"/>
                <w:lang w:eastAsia="en-ZA"/>
              </w:rPr>
            </w:pPr>
            <w:r w:rsidRPr="00FA1C1A">
              <w:rPr>
                <w:rFonts w:eastAsia="Times New Roman" w:cs="Arial"/>
                <w:lang w:eastAsia="en-ZA"/>
              </w:rPr>
              <w:t>5.1%</w:t>
            </w:r>
          </w:p>
        </w:tc>
      </w:tr>
      <w:tr w:rsidR="00FA1C1A" w:rsidRPr="00FA1C1A" w14:paraId="74C914B6" w14:textId="77777777" w:rsidTr="00FA1C1A">
        <w:trPr>
          <w:tblCellSpacing w:w="15" w:type="dxa"/>
        </w:trPr>
        <w:tc>
          <w:tcPr>
            <w:tcW w:w="0" w:type="auto"/>
            <w:vAlign w:val="center"/>
            <w:hideMark/>
          </w:tcPr>
          <w:p w14:paraId="064171B7" w14:textId="77777777" w:rsidR="00FA1C1A" w:rsidRPr="00FA1C1A" w:rsidRDefault="00FA1C1A" w:rsidP="00FA1C1A">
            <w:pPr>
              <w:spacing w:before="120" w:after="120"/>
              <w:jc w:val="both"/>
              <w:rPr>
                <w:rFonts w:eastAsia="Times New Roman" w:cs="Arial"/>
                <w:lang w:eastAsia="en-ZA"/>
              </w:rPr>
            </w:pPr>
            <w:r w:rsidRPr="00FA1C1A">
              <w:rPr>
                <w:rFonts w:eastAsia="Times New Roman" w:cs="Arial"/>
                <w:lang w:eastAsia="en-ZA"/>
              </w:rPr>
              <w:t>2016</w:t>
            </w:r>
          </w:p>
        </w:tc>
        <w:tc>
          <w:tcPr>
            <w:tcW w:w="0" w:type="auto"/>
            <w:vAlign w:val="center"/>
            <w:hideMark/>
          </w:tcPr>
          <w:p w14:paraId="17B423AB" w14:textId="77777777" w:rsidR="00FA1C1A" w:rsidRPr="00FA1C1A" w:rsidRDefault="00FA1C1A" w:rsidP="00FA1C1A">
            <w:pPr>
              <w:spacing w:before="120" w:after="120"/>
              <w:jc w:val="both"/>
              <w:rPr>
                <w:rFonts w:eastAsia="Times New Roman" w:cs="Arial"/>
                <w:lang w:eastAsia="en-ZA"/>
              </w:rPr>
            </w:pPr>
            <w:r w:rsidRPr="00FA1C1A">
              <w:rPr>
                <w:rFonts w:eastAsia="Times New Roman" w:cs="Arial"/>
                <w:lang w:eastAsia="en-ZA"/>
              </w:rPr>
              <w:t>-0.0%</w:t>
            </w:r>
          </w:p>
        </w:tc>
      </w:tr>
      <w:tr w:rsidR="00FA1C1A" w:rsidRPr="00FA1C1A" w14:paraId="53BE23D5" w14:textId="77777777" w:rsidTr="00FA1C1A">
        <w:trPr>
          <w:tblCellSpacing w:w="15" w:type="dxa"/>
        </w:trPr>
        <w:tc>
          <w:tcPr>
            <w:tcW w:w="0" w:type="auto"/>
            <w:vAlign w:val="center"/>
            <w:hideMark/>
          </w:tcPr>
          <w:p w14:paraId="612C6FCB" w14:textId="77777777" w:rsidR="00FA1C1A" w:rsidRPr="00FA1C1A" w:rsidRDefault="00FA1C1A" w:rsidP="00FA1C1A">
            <w:pPr>
              <w:spacing w:before="120" w:after="120"/>
              <w:jc w:val="both"/>
              <w:rPr>
                <w:rFonts w:eastAsia="Times New Roman" w:cs="Arial"/>
                <w:lang w:eastAsia="en-ZA"/>
              </w:rPr>
            </w:pPr>
            <w:r w:rsidRPr="00FA1C1A">
              <w:rPr>
                <w:rFonts w:eastAsia="Times New Roman" w:cs="Arial"/>
                <w:lang w:eastAsia="en-ZA"/>
              </w:rPr>
              <w:t>2017</w:t>
            </w:r>
          </w:p>
        </w:tc>
        <w:tc>
          <w:tcPr>
            <w:tcW w:w="0" w:type="auto"/>
            <w:vAlign w:val="center"/>
            <w:hideMark/>
          </w:tcPr>
          <w:p w14:paraId="00C9AB52" w14:textId="77777777" w:rsidR="00FA1C1A" w:rsidRPr="00FA1C1A" w:rsidRDefault="00FA1C1A" w:rsidP="00FA1C1A">
            <w:pPr>
              <w:spacing w:before="120" w:after="120"/>
              <w:jc w:val="both"/>
              <w:rPr>
                <w:rFonts w:eastAsia="Times New Roman" w:cs="Arial"/>
                <w:lang w:eastAsia="en-ZA"/>
              </w:rPr>
            </w:pPr>
            <w:r w:rsidRPr="00FA1C1A">
              <w:rPr>
                <w:rFonts w:eastAsia="Times New Roman" w:cs="Arial"/>
                <w:lang w:eastAsia="en-ZA"/>
              </w:rPr>
              <w:t>21%</w:t>
            </w:r>
          </w:p>
        </w:tc>
      </w:tr>
    </w:tbl>
    <w:p w14:paraId="40718151" w14:textId="77777777" w:rsidR="00FA1C1A" w:rsidRPr="00FA1C1A" w:rsidRDefault="00FA1C1A" w:rsidP="00FA1C1A">
      <w:pPr>
        <w:spacing w:before="120" w:after="120"/>
        <w:jc w:val="both"/>
        <w:rPr>
          <w:rFonts w:eastAsia="Times New Roman" w:cs="Arial"/>
          <w:lang w:eastAsia="en-ZA"/>
        </w:rPr>
      </w:pPr>
      <w:r w:rsidRPr="00FA1C1A">
        <w:rPr>
          <w:rFonts w:eastAsia="Times New Roman" w:cs="Arial"/>
          <w:lang w:eastAsia="en-ZA"/>
        </w:rPr>
        <w:t>Showing 1 to 44 of 44 entries</w:t>
      </w:r>
    </w:p>
    <w:p w14:paraId="5D7AC4AF" w14:textId="77777777" w:rsidR="00FA1C1A" w:rsidRPr="00FA1C1A" w:rsidRDefault="00FA1C1A" w:rsidP="00FA1C1A">
      <w:pPr>
        <w:spacing w:before="120" w:after="120"/>
        <w:jc w:val="both"/>
        <w:rPr>
          <w:rFonts w:eastAsia="Times New Roman" w:cs="Arial"/>
          <w:lang w:eastAsia="en-ZA"/>
        </w:rPr>
      </w:pPr>
      <w:r w:rsidRPr="00FA1C1A">
        <w:rPr>
          <w:rFonts w:eastAsia="Times New Roman" w:cs="Arial"/>
          <w:lang w:eastAsia="en-ZA"/>
        </w:rPr>
        <w:t>PreviousNext</w:t>
      </w:r>
    </w:p>
    <w:p w14:paraId="49D8599F" w14:textId="77777777" w:rsidR="00FA1C1A" w:rsidRPr="00FA1C1A" w:rsidRDefault="00FA1C1A" w:rsidP="00FA1C1A">
      <w:pPr>
        <w:spacing w:before="120" w:after="120"/>
        <w:jc w:val="both"/>
        <w:rPr>
          <w:rFonts w:eastAsia="Times New Roman" w:cs="Arial"/>
          <w:lang w:eastAsia="en-ZA"/>
        </w:rPr>
      </w:pPr>
      <w:r w:rsidRPr="00FA1C1A">
        <w:rPr>
          <w:rFonts w:eastAsia="Times New Roman" w:cs="Arial"/>
          <w:b/>
          <w:bCs/>
          <w:lang w:eastAsia="en-ZA"/>
        </w:rPr>
        <w:t>Source:</w:t>
      </w:r>
      <w:r w:rsidRPr="00FA1C1A">
        <w:rPr>
          <w:rFonts w:eastAsia="Times New Roman" w:cs="Arial"/>
          <w:lang w:eastAsia="en-ZA"/>
        </w:rPr>
        <w:t xml:space="preserve"> </w:t>
      </w:r>
      <w:hyperlink r:id="rId182" w:tgtFrame="_blank" w:history="1">
        <w:r w:rsidRPr="00FA1C1A">
          <w:rPr>
            <w:rFonts w:eastAsia="Times New Roman" w:cs="Arial"/>
            <w:color w:val="0000FF"/>
            <w:u w:val="single"/>
            <w:lang w:eastAsia="en-ZA"/>
          </w:rPr>
          <w:t>Allan Gray </w:t>
        </w:r>
      </w:hyperlink>
    </w:p>
    <w:p w14:paraId="249F2637" w14:textId="72DAC940" w:rsidR="00FA1C1A" w:rsidRPr="00FA1C1A" w:rsidRDefault="00FA1C1A" w:rsidP="00FA1C1A">
      <w:pPr>
        <w:spacing w:before="120" w:after="120"/>
        <w:jc w:val="both"/>
        <w:rPr>
          <w:rFonts w:eastAsia="Times New Roman" w:cs="Arial"/>
          <w:lang w:eastAsia="en-ZA"/>
        </w:rPr>
      </w:pPr>
      <w:r w:rsidRPr="00FA1C1A">
        <w:rPr>
          <w:rFonts w:eastAsia="Times New Roman" w:cs="Arial"/>
          <w:lang w:eastAsia="en-ZA"/>
        </w:rPr>
        <w:t>https://topforeignstocks.com/2014/01/08/south-africas-ftsejse-all-share-index-returns-by-year/</w:t>
      </w:r>
    </w:p>
    <w:p w14:paraId="0CFF01C9" w14:textId="77777777" w:rsidR="00FA1C1A" w:rsidRPr="00FA1C1A" w:rsidRDefault="00FA1C1A" w:rsidP="00FA1C1A">
      <w:pPr>
        <w:spacing w:before="120" w:after="120"/>
        <w:jc w:val="both"/>
        <w:outlineLvl w:val="0"/>
        <w:rPr>
          <w:rFonts w:eastAsia="Times New Roman" w:cs="Arial"/>
          <w:b/>
          <w:bCs/>
          <w:kern w:val="36"/>
          <w:sz w:val="32"/>
          <w:szCs w:val="32"/>
          <w:lang w:eastAsia="en-ZA"/>
        </w:rPr>
      </w:pPr>
      <w:r w:rsidRPr="00FA1C1A">
        <w:rPr>
          <w:rFonts w:eastAsia="Times New Roman" w:cs="Arial"/>
          <w:b/>
          <w:bCs/>
          <w:kern w:val="36"/>
          <w:sz w:val="32"/>
          <w:szCs w:val="32"/>
          <w:lang w:eastAsia="en-ZA"/>
        </w:rPr>
        <w:lastRenderedPageBreak/>
        <w:t>Long term real investment returns</w:t>
      </w:r>
    </w:p>
    <w:p w14:paraId="5823E51E" w14:textId="77777777" w:rsidR="00FA1C1A" w:rsidRPr="00FA1C1A" w:rsidRDefault="00FA1C1A" w:rsidP="00FA1C1A">
      <w:pPr>
        <w:spacing w:before="120" w:after="120"/>
        <w:jc w:val="both"/>
        <w:outlineLvl w:val="2"/>
        <w:rPr>
          <w:rFonts w:eastAsia="Times New Roman" w:cs="Arial"/>
          <w:b/>
          <w:bCs/>
          <w:lang w:eastAsia="en-ZA"/>
        </w:rPr>
      </w:pPr>
      <w:r w:rsidRPr="00FA1C1A">
        <w:rPr>
          <w:rFonts w:eastAsia="Times New Roman" w:cs="Arial"/>
          <w:b/>
          <w:bCs/>
          <w:lang w:eastAsia="en-ZA"/>
        </w:rPr>
        <w:t>By Christo Luüs</w:t>
      </w:r>
    </w:p>
    <w:p w14:paraId="74198B9C" w14:textId="77777777" w:rsidR="00FA1C1A" w:rsidRPr="00FA1C1A" w:rsidRDefault="00FA1C1A" w:rsidP="00FA1C1A">
      <w:pPr>
        <w:spacing w:before="120" w:after="120"/>
        <w:jc w:val="both"/>
        <w:rPr>
          <w:rFonts w:eastAsia="Times New Roman" w:cs="Arial"/>
          <w:lang w:eastAsia="en-ZA"/>
        </w:rPr>
      </w:pPr>
      <w:r w:rsidRPr="00FA1C1A">
        <w:rPr>
          <w:rFonts w:eastAsia="Times New Roman" w:cs="Arial"/>
          <w:noProof/>
          <w:lang w:eastAsia="en-ZA"/>
        </w:rPr>
        <w:drawing>
          <wp:inline distT="0" distB="0" distL="0" distR="0" wp14:anchorId="69E8E823" wp14:editId="271E7BAE">
            <wp:extent cx="3573780" cy="883920"/>
            <wp:effectExtent l="0" t="0" r="7620" b="0"/>
            <wp:docPr id="38" name="Picture 38" descr="thirdcirc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hirdcircle"/>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bwMode="auto">
                    <a:xfrm>
                      <a:off x="0" y="0"/>
                      <a:ext cx="3573780" cy="883920"/>
                    </a:xfrm>
                    <a:prstGeom prst="rect">
                      <a:avLst/>
                    </a:prstGeom>
                    <a:noFill/>
                    <a:ln>
                      <a:noFill/>
                    </a:ln>
                  </pic:spPr>
                </pic:pic>
              </a:graphicData>
            </a:graphic>
          </wp:inline>
        </w:drawing>
      </w:r>
    </w:p>
    <w:p w14:paraId="130DC61A" w14:textId="77777777" w:rsidR="00FA1C1A" w:rsidRPr="00FA1C1A" w:rsidRDefault="00FA1C1A" w:rsidP="00FA1C1A">
      <w:pPr>
        <w:spacing w:before="120" w:after="120"/>
        <w:jc w:val="both"/>
        <w:rPr>
          <w:rFonts w:eastAsia="Times New Roman" w:cs="Arial"/>
          <w:lang w:eastAsia="en-ZA"/>
        </w:rPr>
      </w:pPr>
      <w:r w:rsidRPr="00FA1C1A">
        <w:rPr>
          <w:rFonts w:eastAsia="Times New Roman" w:cs="Arial"/>
          <w:noProof/>
          <w:lang w:eastAsia="en-ZA"/>
        </w:rPr>
        <w:drawing>
          <wp:anchor distT="0" distB="0" distL="114300" distR="114300" simplePos="0" relativeHeight="251662336" behindDoc="0" locked="0" layoutInCell="1" allowOverlap="1" wp14:anchorId="577B8A71" wp14:editId="70C64032">
            <wp:simplePos x="0" y="0"/>
            <wp:positionH relativeFrom="column">
              <wp:posOffset>0</wp:posOffset>
            </wp:positionH>
            <wp:positionV relativeFrom="paragraph">
              <wp:posOffset>1905</wp:posOffset>
            </wp:positionV>
            <wp:extent cx="1325880" cy="1638300"/>
            <wp:effectExtent l="0" t="0" r="7620" b="0"/>
            <wp:wrapSquare wrapText="bothSides"/>
            <wp:docPr id="39" name="Picture 39" descr="chris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hristo"/>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bwMode="auto">
                    <a:xfrm>
                      <a:off x="0" y="0"/>
                      <a:ext cx="1325880" cy="16383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FA1C1A">
        <w:rPr>
          <w:rFonts w:eastAsia="Times New Roman" w:cs="Arial"/>
          <w:lang w:eastAsia="en-ZA"/>
        </w:rPr>
        <w:t>This research gives a high-level long-term overview of five South African asset classes: Equities, bonds, cash, gold and property.</w:t>
      </w:r>
    </w:p>
    <w:p w14:paraId="1275929D" w14:textId="77777777" w:rsidR="00FA1C1A" w:rsidRPr="00FA1C1A" w:rsidRDefault="00FA1C1A" w:rsidP="00FA1C1A">
      <w:pPr>
        <w:spacing w:before="120" w:after="120"/>
        <w:jc w:val="both"/>
        <w:rPr>
          <w:rFonts w:eastAsia="Times New Roman" w:cs="Arial"/>
          <w:lang w:eastAsia="en-ZA"/>
        </w:rPr>
      </w:pPr>
      <w:r w:rsidRPr="00FA1C1A">
        <w:rPr>
          <w:rFonts w:eastAsia="Times New Roman" w:cs="Arial"/>
          <w:lang w:eastAsia="en-ZA"/>
        </w:rPr>
        <w:t>The risk / return properties for these asset classes are highlighted, with the data for the first three asset classes going back 90 years.</w:t>
      </w:r>
    </w:p>
    <w:p w14:paraId="4386493B" w14:textId="77777777" w:rsidR="00FA1C1A" w:rsidRPr="00FA1C1A" w:rsidRDefault="00FA1C1A" w:rsidP="00FA1C1A">
      <w:pPr>
        <w:spacing w:before="120" w:after="120"/>
        <w:jc w:val="both"/>
        <w:rPr>
          <w:rFonts w:eastAsia="Times New Roman" w:cs="Arial"/>
          <w:lang w:eastAsia="en-ZA"/>
        </w:rPr>
      </w:pPr>
      <w:r w:rsidRPr="00FA1C1A">
        <w:rPr>
          <w:rFonts w:eastAsia="Times New Roman" w:cs="Arial"/>
          <w:lang w:eastAsia="en-ZA"/>
        </w:rPr>
        <w:t>The return and volatility (risk) characteristics are used to construct an efficient frontier showing the minimum risk that could have been achieved at various returns by asset class diversification.</w:t>
      </w:r>
    </w:p>
    <w:p w14:paraId="11B43F1E" w14:textId="77777777" w:rsidR="00FA1C1A" w:rsidRPr="00FA1C1A" w:rsidRDefault="00FA1C1A" w:rsidP="00FA1C1A">
      <w:pPr>
        <w:spacing w:before="120" w:after="120"/>
        <w:jc w:val="both"/>
        <w:rPr>
          <w:rFonts w:eastAsia="Times New Roman" w:cs="Arial"/>
          <w:lang w:eastAsia="en-ZA"/>
        </w:rPr>
      </w:pPr>
      <w:r w:rsidRPr="00FA1C1A">
        <w:rPr>
          <w:rFonts w:eastAsia="Times New Roman" w:cs="Arial"/>
          <w:lang w:eastAsia="en-ZA"/>
        </w:rPr>
        <w:t>A brief overview of the past 50 years is also given between US, UK and SA returns on equities and bonds.</w:t>
      </w:r>
    </w:p>
    <w:p w14:paraId="4AE61DD7" w14:textId="77777777" w:rsidR="00FA1C1A" w:rsidRPr="00FA1C1A" w:rsidRDefault="00FA1C1A" w:rsidP="00FA1C1A">
      <w:pPr>
        <w:spacing w:before="120" w:after="120"/>
        <w:jc w:val="both"/>
        <w:rPr>
          <w:rFonts w:eastAsia="Times New Roman" w:cs="Arial"/>
          <w:lang w:eastAsia="en-ZA"/>
        </w:rPr>
      </w:pPr>
      <w:r w:rsidRPr="00FA1C1A">
        <w:rPr>
          <w:rFonts w:eastAsia="Times New Roman" w:cs="Arial"/>
          <w:lang w:eastAsia="en-ZA"/>
        </w:rPr>
        <w:t>The graph below shows that equity performed the best over the past five years, but that this asset class was in fact outperformed by listed property over the past 20, 10 (marginally so) and one-year periods.</w:t>
      </w:r>
    </w:p>
    <w:p w14:paraId="7913A6EE" w14:textId="77777777" w:rsidR="00FA1C1A" w:rsidRPr="00FA1C1A" w:rsidRDefault="00FA1C1A" w:rsidP="00FA1C1A">
      <w:pPr>
        <w:spacing w:before="120" w:after="120"/>
        <w:jc w:val="both"/>
        <w:rPr>
          <w:rFonts w:eastAsia="Times New Roman" w:cs="Arial"/>
          <w:lang w:eastAsia="en-ZA"/>
        </w:rPr>
      </w:pPr>
      <w:r w:rsidRPr="00FA1C1A">
        <w:rPr>
          <w:rFonts w:eastAsia="Times New Roman" w:cs="Arial"/>
          <w:lang w:eastAsia="en-ZA"/>
        </w:rPr>
        <w:t>Bonds, cash and gold could have been used to achieve diversification and hence risk-reducing benefits in portfolios.</w:t>
      </w:r>
    </w:p>
    <w:p w14:paraId="01F7F2E6" w14:textId="77777777" w:rsidR="00FA1C1A" w:rsidRPr="00FA1C1A" w:rsidRDefault="00FA1C1A" w:rsidP="00FA1C1A">
      <w:pPr>
        <w:spacing w:before="120" w:after="120"/>
        <w:jc w:val="both"/>
        <w:rPr>
          <w:rFonts w:eastAsia="Times New Roman" w:cs="Arial"/>
          <w:lang w:eastAsia="en-ZA"/>
        </w:rPr>
      </w:pPr>
      <w:r w:rsidRPr="00FA1C1A">
        <w:rPr>
          <w:rFonts w:eastAsia="Times New Roman" w:cs="Arial"/>
          <w:noProof/>
          <w:lang w:eastAsia="en-ZA"/>
        </w:rPr>
        <w:drawing>
          <wp:inline distT="0" distB="0" distL="0" distR="0" wp14:anchorId="3C2777C7" wp14:editId="6C7EC3AC">
            <wp:extent cx="5701792" cy="3718560"/>
            <wp:effectExtent l="0" t="0" r="0" b="0"/>
            <wp:docPr id="40" name="Picture 40" descr="fi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ig1"/>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bwMode="auto">
                    <a:xfrm>
                      <a:off x="0" y="0"/>
                      <a:ext cx="5713418" cy="3726142"/>
                    </a:xfrm>
                    <a:prstGeom prst="rect">
                      <a:avLst/>
                    </a:prstGeom>
                    <a:noFill/>
                    <a:ln>
                      <a:noFill/>
                    </a:ln>
                  </pic:spPr>
                </pic:pic>
              </a:graphicData>
            </a:graphic>
          </wp:inline>
        </w:drawing>
      </w:r>
    </w:p>
    <w:p w14:paraId="202E0D8A" w14:textId="77777777" w:rsidR="00FA1C1A" w:rsidRPr="00FA1C1A" w:rsidRDefault="00FA1C1A" w:rsidP="00FA1C1A">
      <w:pPr>
        <w:spacing w:before="120" w:after="120"/>
        <w:jc w:val="both"/>
        <w:outlineLvl w:val="3"/>
        <w:rPr>
          <w:rFonts w:eastAsia="Times New Roman" w:cs="Arial"/>
          <w:b/>
          <w:bCs/>
          <w:lang w:eastAsia="en-ZA"/>
        </w:rPr>
      </w:pPr>
      <w:r w:rsidRPr="00FA1C1A">
        <w:rPr>
          <w:rFonts w:eastAsia="Times New Roman" w:cs="Arial"/>
          <w:b/>
          <w:bCs/>
          <w:lang w:eastAsia="en-ZA"/>
        </w:rPr>
        <w:t>Equity market returns</w:t>
      </w:r>
    </w:p>
    <w:p w14:paraId="21CA3284" w14:textId="77777777" w:rsidR="00FA1C1A" w:rsidRPr="00FA1C1A" w:rsidRDefault="00FA1C1A" w:rsidP="00FA1C1A">
      <w:pPr>
        <w:spacing w:before="120" w:after="120"/>
        <w:jc w:val="both"/>
        <w:rPr>
          <w:rFonts w:eastAsia="Times New Roman" w:cs="Arial"/>
          <w:lang w:eastAsia="en-ZA"/>
        </w:rPr>
      </w:pPr>
      <w:r w:rsidRPr="00FA1C1A">
        <w:rPr>
          <w:rFonts w:eastAsia="Times New Roman" w:cs="Arial"/>
          <w:lang w:eastAsia="en-ZA"/>
        </w:rPr>
        <w:t>2014 proved to be a rather dull year for South African equity market returns. The JSE All-share total return index delivered 10.9% in 2014 or 4.9% after inflation (i.e. in real terms). This was well below the average real equity return of 12.7% over the past decade and also the 9.1% average real return recorded during the past 25 years. 2014’s real return was the third lowest figure of the past 10 years, with the worst returns during this period having been recorded in 2008 (-29.7%) and in 2011 (-3.3%).</w:t>
      </w:r>
    </w:p>
    <w:p w14:paraId="6500B217" w14:textId="77777777" w:rsidR="00FA1C1A" w:rsidRPr="00FA1C1A" w:rsidRDefault="00FA1C1A" w:rsidP="00FA1C1A">
      <w:pPr>
        <w:spacing w:before="120" w:after="120"/>
        <w:jc w:val="both"/>
        <w:rPr>
          <w:rFonts w:eastAsia="Times New Roman" w:cs="Arial"/>
          <w:lang w:eastAsia="en-ZA"/>
        </w:rPr>
      </w:pPr>
      <w:r w:rsidRPr="00FA1C1A">
        <w:rPr>
          <w:rFonts w:eastAsia="Times New Roman" w:cs="Arial"/>
          <w:lang w:eastAsia="en-ZA"/>
        </w:rPr>
        <w:lastRenderedPageBreak/>
        <w:t>Over the past 90 years, i.e. since the beginning of 1925, the South African equity market has delivered an average annual real return of 8.4%, which means that a lump sum equivalent of R1,000 today, invested in 1925, would have grown to more than R1,35 million at the end of 2014 after inflation is stripped out.</w:t>
      </w:r>
    </w:p>
    <w:p w14:paraId="66BD08C6" w14:textId="77777777" w:rsidR="00FA1C1A" w:rsidRPr="00FA1C1A" w:rsidRDefault="00FA1C1A" w:rsidP="00FA1C1A">
      <w:pPr>
        <w:spacing w:before="120" w:after="120"/>
        <w:jc w:val="both"/>
        <w:rPr>
          <w:rFonts w:eastAsia="Times New Roman" w:cs="Arial"/>
          <w:lang w:eastAsia="en-ZA"/>
        </w:rPr>
      </w:pPr>
      <w:r w:rsidRPr="00FA1C1A">
        <w:rPr>
          <w:rFonts w:eastAsia="Times New Roman" w:cs="Arial"/>
          <w:lang w:eastAsia="en-ZA"/>
        </w:rPr>
        <w:t>For a person who started his working career in 1975 and retired at the end of 2014 at age 65, a monthly investment of R2,000 (at today’s value) in the equity market, would have provided this individual with around R8 million – probably sufficient to buy an annuity paying a monthly pension of between R55,000 and R60,000.</w:t>
      </w:r>
    </w:p>
    <w:p w14:paraId="7D068DC2" w14:textId="77777777" w:rsidR="00FA1C1A" w:rsidRPr="00FA1C1A" w:rsidRDefault="00FA1C1A" w:rsidP="00FA1C1A">
      <w:pPr>
        <w:spacing w:before="120" w:after="120"/>
        <w:jc w:val="both"/>
        <w:rPr>
          <w:rFonts w:eastAsia="Times New Roman" w:cs="Arial"/>
          <w:lang w:eastAsia="en-ZA"/>
        </w:rPr>
      </w:pPr>
      <w:r w:rsidRPr="00FA1C1A">
        <w:rPr>
          <w:rFonts w:eastAsia="Times New Roman" w:cs="Arial"/>
          <w:lang w:eastAsia="en-ZA"/>
        </w:rPr>
        <w:t>The statistical measure of risk, i.e. the standard deviation of monthly returns, has over 10-year average periods, ranged between 2% and 8%. The past 10 years’ standard deviation of nominal equity returns had averaged around 4.5%, which was the lowest such level recorded since the early 1970s.</w:t>
      </w:r>
    </w:p>
    <w:p w14:paraId="6D58CCEF" w14:textId="1CADE4E8" w:rsidR="00FA1C1A" w:rsidRPr="00FA1C1A" w:rsidRDefault="00FA1C1A" w:rsidP="00FA1C1A">
      <w:pPr>
        <w:spacing w:before="120" w:after="120"/>
        <w:jc w:val="both"/>
        <w:rPr>
          <w:rFonts w:eastAsia="Times New Roman" w:cs="Arial"/>
          <w:lang w:eastAsia="en-ZA"/>
        </w:rPr>
      </w:pPr>
      <w:r w:rsidRPr="00FA1C1A">
        <w:rPr>
          <w:rFonts w:eastAsia="Times New Roman" w:cs="Arial"/>
          <w:lang w:eastAsia="en-ZA"/>
        </w:rPr>
        <w:t> </w:t>
      </w:r>
      <w:r w:rsidRPr="00FA1C1A">
        <w:rPr>
          <w:rFonts w:eastAsia="Times New Roman" w:cs="Arial"/>
          <w:noProof/>
          <w:lang w:eastAsia="en-ZA"/>
        </w:rPr>
        <w:drawing>
          <wp:inline distT="0" distB="0" distL="0" distR="0" wp14:anchorId="72823C98" wp14:editId="03E2539A">
            <wp:extent cx="5699452" cy="5425440"/>
            <wp:effectExtent l="0" t="0" r="0" b="3810"/>
            <wp:docPr id="41" name="Picture 41" descr="fig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fig2"/>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bwMode="auto">
                    <a:xfrm>
                      <a:off x="0" y="0"/>
                      <a:ext cx="5717779" cy="5442886"/>
                    </a:xfrm>
                    <a:prstGeom prst="rect">
                      <a:avLst/>
                    </a:prstGeom>
                    <a:noFill/>
                    <a:ln>
                      <a:noFill/>
                    </a:ln>
                  </pic:spPr>
                </pic:pic>
              </a:graphicData>
            </a:graphic>
          </wp:inline>
        </w:drawing>
      </w:r>
    </w:p>
    <w:p w14:paraId="02BAEEFB" w14:textId="77777777" w:rsidR="00FA1C1A" w:rsidRPr="00FA1C1A" w:rsidRDefault="00FA1C1A" w:rsidP="00FA1C1A">
      <w:pPr>
        <w:spacing w:before="120" w:after="120"/>
        <w:jc w:val="both"/>
        <w:rPr>
          <w:rFonts w:eastAsia="Times New Roman" w:cs="Arial"/>
          <w:lang w:eastAsia="en-ZA"/>
        </w:rPr>
      </w:pPr>
      <w:r w:rsidRPr="00FA1C1A">
        <w:rPr>
          <w:rFonts w:eastAsia="Times New Roman" w:cs="Arial"/>
          <w:noProof/>
          <w:lang w:eastAsia="en-ZA"/>
        </w:rPr>
        <w:lastRenderedPageBreak/>
        <w:drawing>
          <wp:inline distT="0" distB="0" distL="0" distR="0" wp14:anchorId="1864714C" wp14:editId="73B19127">
            <wp:extent cx="5683769" cy="6332220"/>
            <wp:effectExtent l="0" t="0" r="0" b="0"/>
            <wp:docPr id="42" name="Picture 42" descr="fig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fig3"/>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5695497" cy="6345286"/>
                    </a:xfrm>
                    <a:prstGeom prst="rect">
                      <a:avLst/>
                    </a:prstGeom>
                    <a:noFill/>
                    <a:ln>
                      <a:noFill/>
                    </a:ln>
                  </pic:spPr>
                </pic:pic>
              </a:graphicData>
            </a:graphic>
          </wp:inline>
        </w:drawing>
      </w:r>
    </w:p>
    <w:p w14:paraId="586EB3ED" w14:textId="77777777" w:rsidR="00FA1C1A" w:rsidRPr="00FA1C1A" w:rsidRDefault="00FA1C1A" w:rsidP="00FA1C1A">
      <w:pPr>
        <w:spacing w:before="120" w:after="120"/>
        <w:jc w:val="both"/>
        <w:rPr>
          <w:rFonts w:eastAsia="Times New Roman" w:cs="Arial"/>
          <w:lang w:eastAsia="en-ZA"/>
        </w:rPr>
      </w:pPr>
      <w:r w:rsidRPr="00FA1C1A">
        <w:rPr>
          <w:rFonts w:eastAsia="Times New Roman" w:cs="Arial"/>
          <w:noProof/>
          <w:lang w:eastAsia="en-ZA"/>
        </w:rPr>
        <w:lastRenderedPageBreak/>
        <w:drawing>
          <wp:inline distT="0" distB="0" distL="0" distR="0" wp14:anchorId="22F75801" wp14:editId="566AB15D">
            <wp:extent cx="5752172" cy="6400800"/>
            <wp:effectExtent l="0" t="0" r="1270" b="0"/>
            <wp:docPr id="43" name="Picture 43" descr="fig3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fig3a"/>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5764569" cy="6414595"/>
                    </a:xfrm>
                    <a:prstGeom prst="rect">
                      <a:avLst/>
                    </a:prstGeom>
                    <a:noFill/>
                    <a:ln>
                      <a:noFill/>
                    </a:ln>
                  </pic:spPr>
                </pic:pic>
              </a:graphicData>
            </a:graphic>
          </wp:inline>
        </w:drawing>
      </w:r>
    </w:p>
    <w:p w14:paraId="29F97367" w14:textId="77777777" w:rsidR="00FA1C1A" w:rsidRPr="00FA1C1A" w:rsidRDefault="00FA1C1A" w:rsidP="00FA1C1A">
      <w:pPr>
        <w:spacing w:before="120" w:after="120"/>
        <w:jc w:val="both"/>
        <w:outlineLvl w:val="3"/>
        <w:rPr>
          <w:rFonts w:eastAsia="Times New Roman" w:cs="Arial"/>
          <w:b/>
          <w:bCs/>
          <w:lang w:eastAsia="en-ZA"/>
        </w:rPr>
      </w:pPr>
      <w:r w:rsidRPr="00FA1C1A">
        <w:rPr>
          <w:rFonts w:eastAsia="Times New Roman" w:cs="Arial"/>
          <w:b/>
          <w:bCs/>
          <w:lang w:eastAsia="en-ZA"/>
        </w:rPr>
        <w:t>Bond market returns</w:t>
      </w:r>
    </w:p>
    <w:p w14:paraId="61CCFAE7" w14:textId="77777777" w:rsidR="00FA1C1A" w:rsidRPr="00FA1C1A" w:rsidRDefault="00FA1C1A" w:rsidP="00FA1C1A">
      <w:pPr>
        <w:spacing w:before="120" w:after="120"/>
        <w:jc w:val="both"/>
        <w:rPr>
          <w:rFonts w:eastAsia="Times New Roman" w:cs="Arial"/>
          <w:lang w:eastAsia="en-ZA"/>
        </w:rPr>
      </w:pPr>
      <w:r w:rsidRPr="00FA1C1A">
        <w:rPr>
          <w:rFonts w:eastAsia="Times New Roman" w:cs="Arial"/>
          <w:lang w:eastAsia="en-ZA"/>
        </w:rPr>
        <w:t>With increasing pressure on state finances amidst low growth, high inflation, sanctions and lack of access to capital, real bond returns rose by about 10 percentage points during the 1980s to adequately reward investors willing to invest in bonds. The 1990s saw times of further risk aversion, but with inflation declining and growth picking up, bond returns continued to rise as yields declined and state finances improved through most of the period between 2000 and 2007. Since the 2008/2009 financial crisis, bond yields have been increasing again as government deficits resumed and debt rose. This caused real 10-year bond returns to more than half since around 2005.</w:t>
      </w:r>
    </w:p>
    <w:p w14:paraId="0FC24A82" w14:textId="77777777" w:rsidR="00FA1C1A" w:rsidRPr="00FA1C1A" w:rsidRDefault="00FA1C1A" w:rsidP="00FA1C1A">
      <w:pPr>
        <w:spacing w:before="120" w:after="120"/>
        <w:jc w:val="both"/>
        <w:rPr>
          <w:rFonts w:eastAsia="Times New Roman" w:cs="Arial"/>
          <w:lang w:eastAsia="en-ZA"/>
        </w:rPr>
      </w:pPr>
      <w:r w:rsidRPr="00FA1C1A">
        <w:rPr>
          <w:rFonts w:eastAsia="Times New Roman" w:cs="Arial"/>
          <w:lang w:eastAsia="en-ZA"/>
        </w:rPr>
        <w:t>Over the past 90 years, i.e. since the beginning of 1925, the South African bond market has delivered an average annual real return of 1.6%, which means that a lump sum equivalent of R1,000 today, invested in bonds in 1925, would have grown to only R4,200 at the end of 2014 after inflation is stripped out. The 1940s, 1960s and 1970s were particularly bad periods for bond investors.</w:t>
      </w:r>
    </w:p>
    <w:p w14:paraId="2BB127DB" w14:textId="77777777" w:rsidR="00FA1C1A" w:rsidRPr="00FA1C1A" w:rsidRDefault="00FA1C1A" w:rsidP="00FA1C1A">
      <w:pPr>
        <w:spacing w:before="120" w:after="120"/>
        <w:jc w:val="both"/>
        <w:rPr>
          <w:rFonts w:eastAsia="Times New Roman" w:cs="Arial"/>
          <w:lang w:eastAsia="en-ZA"/>
        </w:rPr>
      </w:pPr>
      <w:r w:rsidRPr="00FA1C1A">
        <w:rPr>
          <w:rFonts w:eastAsia="Times New Roman" w:cs="Arial"/>
          <w:lang w:eastAsia="en-ZA"/>
        </w:rPr>
        <w:lastRenderedPageBreak/>
        <w:t>The statistical measure of risk, i.e. the standard deviation of monthly returns, has over 10-year average periods, ranged between 0.6% and 3.1%. The past 10 years’ standard deviation of nominal bond returns had averaged around 2%, which was much lower than the level recorded during most of the past two-and-a-half decades.</w:t>
      </w:r>
    </w:p>
    <w:p w14:paraId="4652D31A" w14:textId="77777777" w:rsidR="00FA1C1A" w:rsidRPr="00FA1C1A" w:rsidRDefault="00FA1C1A" w:rsidP="00FA1C1A">
      <w:pPr>
        <w:spacing w:before="120" w:after="120"/>
        <w:jc w:val="both"/>
        <w:rPr>
          <w:rFonts w:eastAsia="Times New Roman" w:cs="Arial"/>
          <w:lang w:eastAsia="en-ZA"/>
        </w:rPr>
      </w:pPr>
      <w:r w:rsidRPr="00FA1C1A">
        <w:rPr>
          <w:rFonts w:eastAsia="Times New Roman" w:cs="Arial"/>
          <w:lang w:eastAsia="en-ZA"/>
        </w:rPr>
        <w:t> </w:t>
      </w:r>
    </w:p>
    <w:p w14:paraId="72795E6A" w14:textId="77777777" w:rsidR="00FA1C1A" w:rsidRPr="00FA1C1A" w:rsidRDefault="00FA1C1A" w:rsidP="00FA1C1A">
      <w:pPr>
        <w:spacing w:before="120" w:after="120"/>
        <w:jc w:val="both"/>
        <w:rPr>
          <w:rFonts w:eastAsia="Times New Roman" w:cs="Arial"/>
          <w:lang w:eastAsia="en-ZA"/>
        </w:rPr>
      </w:pPr>
      <w:r w:rsidRPr="00FA1C1A">
        <w:rPr>
          <w:rFonts w:eastAsia="Times New Roman" w:cs="Arial"/>
          <w:lang w:eastAsia="en-ZA"/>
        </w:rPr>
        <w:t> </w:t>
      </w:r>
    </w:p>
    <w:p w14:paraId="3527FDC6" w14:textId="77777777" w:rsidR="00FA1C1A" w:rsidRPr="00FA1C1A" w:rsidRDefault="00FA1C1A" w:rsidP="00FA1C1A">
      <w:pPr>
        <w:spacing w:before="120" w:after="120"/>
        <w:jc w:val="both"/>
        <w:rPr>
          <w:rFonts w:eastAsia="Times New Roman" w:cs="Arial"/>
          <w:lang w:eastAsia="en-ZA"/>
        </w:rPr>
      </w:pPr>
      <w:r w:rsidRPr="00FA1C1A">
        <w:rPr>
          <w:rFonts w:eastAsia="Times New Roman" w:cs="Arial"/>
          <w:lang w:eastAsia="en-ZA"/>
        </w:rPr>
        <w:t> </w:t>
      </w:r>
    </w:p>
    <w:p w14:paraId="5A3F52BF" w14:textId="77777777" w:rsidR="00FA1C1A" w:rsidRPr="00FA1C1A" w:rsidRDefault="00FA1C1A" w:rsidP="00FA1C1A">
      <w:pPr>
        <w:spacing w:before="120" w:after="120"/>
        <w:jc w:val="both"/>
        <w:rPr>
          <w:rFonts w:eastAsia="Times New Roman" w:cs="Arial"/>
          <w:lang w:eastAsia="en-ZA"/>
        </w:rPr>
      </w:pPr>
      <w:r w:rsidRPr="00FA1C1A">
        <w:rPr>
          <w:rFonts w:eastAsia="Times New Roman" w:cs="Arial"/>
          <w:noProof/>
          <w:lang w:eastAsia="en-ZA"/>
        </w:rPr>
        <w:drawing>
          <wp:inline distT="0" distB="0" distL="0" distR="0" wp14:anchorId="10ACC619" wp14:editId="6C12CB9F">
            <wp:extent cx="5669280" cy="5150778"/>
            <wp:effectExtent l="0" t="0" r="7620" b="0"/>
            <wp:docPr id="44" name="Picture 44" descr="fig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fig4"/>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bwMode="auto">
                    <a:xfrm>
                      <a:off x="0" y="0"/>
                      <a:ext cx="5689483" cy="5169133"/>
                    </a:xfrm>
                    <a:prstGeom prst="rect">
                      <a:avLst/>
                    </a:prstGeom>
                    <a:noFill/>
                    <a:ln>
                      <a:noFill/>
                    </a:ln>
                  </pic:spPr>
                </pic:pic>
              </a:graphicData>
            </a:graphic>
          </wp:inline>
        </w:drawing>
      </w:r>
    </w:p>
    <w:p w14:paraId="4A563D9B" w14:textId="77777777" w:rsidR="00FA1C1A" w:rsidRPr="00FA1C1A" w:rsidRDefault="00FA1C1A" w:rsidP="00FA1C1A">
      <w:pPr>
        <w:spacing w:before="120" w:after="120"/>
        <w:jc w:val="both"/>
        <w:rPr>
          <w:rFonts w:eastAsia="Times New Roman" w:cs="Arial"/>
          <w:lang w:eastAsia="en-ZA"/>
        </w:rPr>
      </w:pPr>
      <w:r w:rsidRPr="00FA1C1A">
        <w:rPr>
          <w:rFonts w:eastAsia="Times New Roman" w:cs="Arial"/>
          <w:noProof/>
          <w:lang w:eastAsia="en-ZA"/>
        </w:rPr>
        <w:lastRenderedPageBreak/>
        <w:drawing>
          <wp:inline distT="0" distB="0" distL="0" distR="0" wp14:anchorId="419DB6F5" wp14:editId="2754427D">
            <wp:extent cx="5676900" cy="6216849"/>
            <wp:effectExtent l="0" t="0" r="0" b="0"/>
            <wp:docPr id="45" name="Picture 45" descr="fig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fig5"/>
                    <pic:cNvPicPr>
                      <a:picLocks noChangeAspect="1" noChangeArrowheads="1"/>
                    </pic:cNvPicPr>
                  </pic:nvPicPr>
                  <pic:blipFill>
                    <a:blip r:embed="rId190">
                      <a:extLst>
                        <a:ext uri="{28A0092B-C50C-407E-A947-70E740481C1C}">
                          <a14:useLocalDpi xmlns:a14="http://schemas.microsoft.com/office/drawing/2010/main" val="0"/>
                        </a:ext>
                      </a:extLst>
                    </a:blip>
                    <a:srcRect/>
                    <a:stretch>
                      <a:fillRect/>
                    </a:stretch>
                  </pic:blipFill>
                  <pic:spPr bwMode="auto">
                    <a:xfrm>
                      <a:off x="0" y="0"/>
                      <a:ext cx="5686646" cy="6227522"/>
                    </a:xfrm>
                    <a:prstGeom prst="rect">
                      <a:avLst/>
                    </a:prstGeom>
                    <a:noFill/>
                    <a:ln>
                      <a:noFill/>
                    </a:ln>
                  </pic:spPr>
                </pic:pic>
              </a:graphicData>
            </a:graphic>
          </wp:inline>
        </w:drawing>
      </w:r>
    </w:p>
    <w:p w14:paraId="69864370" w14:textId="77777777" w:rsidR="00FA1C1A" w:rsidRPr="00FA1C1A" w:rsidRDefault="00FA1C1A" w:rsidP="00FA1C1A">
      <w:pPr>
        <w:spacing w:before="120" w:after="120"/>
        <w:jc w:val="both"/>
        <w:rPr>
          <w:rFonts w:eastAsia="Times New Roman" w:cs="Arial"/>
          <w:lang w:eastAsia="en-ZA"/>
        </w:rPr>
      </w:pPr>
      <w:r w:rsidRPr="00FA1C1A">
        <w:rPr>
          <w:rFonts w:eastAsia="Times New Roman" w:cs="Arial"/>
          <w:noProof/>
          <w:lang w:eastAsia="en-ZA"/>
        </w:rPr>
        <w:lastRenderedPageBreak/>
        <w:drawing>
          <wp:inline distT="0" distB="0" distL="0" distR="0" wp14:anchorId="148CD3FB" wp14:editId="7112F702">
            <wp:extent cx="5675871" cy="6141583"/>
            <wp:effectExtent l="0" t="0" r="1270" b="0"/>
            <wp:docPr id="46" name="Picture 46" descr="fig5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fig5a"/>
                    <pic:cNvPicPr>
                      <a:picLocks noChangeAspect="1" noChangeArrowheads="1"/>
                    </pic:cNvPicPr>
                  </pic:nvPicPr>
                  <pic:blipFill>
                    <a:blip r:embed="rId191">
                      <a:extLst>
                        <a:ext uri="{28A0092B-C50C-407E-A947-70E740481C1C}">
                          <a14:useLocalDpi xmlns:a14="http://schemas.microsoft.com/office/drawing/2010/main" val="0"/>
                        </a:ext>
                      </a:extLst>
                    </a:blip>
                    <a:srcRect/>
                    <a:stretch>
                      <a:fillRect/>
                    </a:stretch>
                  </pic:blipFill>
                  <pic:spPr bwMode="auto">
                    <a:xfrm>
                      <a:off x="0" y="0"/>
                      <a:ext cx="5710070" cy="6178588"/>
                    </a:xfrm>
                    <a:prstGeom prst="rect">
                      <a:avLst/>
                    </a:prstGeom>
                    <a:noFill/>
                    <a:ln>
                      <a:noFill/>
                    </a:ln>
                  </pic:spPr>
                </pic:pic>
              </a:graphicData>
            </a:graphic>
          </wp:inline>
        </w:drawing>
      </w:r>
    </w:p>
    <w:p w14:paraId="5ED6219D" w14:textId="77777777" w:rsidR="00FA1C1A" w:rsidRPr="00FA1C1A" w:rsidRDefault="00FA1C1A" w:rsidP="00FA1C1A">
      <w:pPr>
        <w:spacing w:before="120" w:after="120"/>
        <w:jc w:val="both"/>
        <w:outlineLvl w:val="3"/>
        <w:rPr>
          <w:rFonts w:eastAsia="Times New Roman" w:cs="Arial"/>
          <w:b/>
          <w:bCs/>
          <w:lang w:eastAsia="en-ZA"/>
        </w:rPr>
      </w:pPr>
      <w:r w:rsidRPr="00FA1C1A">
        <w:rPr>
          <w:rFonts w:eastAsia="Times New Roman" w:cs="Arial"/>
          <w:b/>
          <w:bCs/>
          <w:lang w:eastAsia="en-ZA"/>
        </w:rPr>
        <w:t>Cash market returns</w:t>
      </w:r>
    </w:p>
    <w:p w14:paraId="57D45C86" w14:textId="77777777" w:rsidR="00FA1C1A" w:rsidRPr="00FA1C1A" w:rsidRDefault="00FA1C1A" w:rsidP="00FA1C1A">
      <w:pPr>
        <w:spacing w:before="120" w:after="120"/>
        <w:jc w:val="both"/>
        <w:rPr>
          <w:rFonts w:eastAsia="Times New Roman" w:cs="Arial"/>
          <w:lang w:eastAsia="en-ZA"/>
        </w:rPr>
      </w:pPr>
      <w:r w:rsidRPr="00FA1C1A">
        <w:rPr>
          <w:rFonts w:eastAsia="Times New Roman" w:cs="Arial"/>
          <w:lang w:eastAsia="en-ZA"/>
        </w:rPr>
        <w:t>Sound monetary policy is regarded as one of the basic prerequisites for a successful economy. An important part of a sound monetary policy involves that risk averse investors should still get a positive real return on their investments. Looking at 10-year rolling periods, the 1940s and 1950s as well as the 1980s did not adequately reward investors for investing in money market instruments.</w:t>
      </w:r>
    </w:p>
    <w:p w14:paraId="08EE6E61" w14:textId="77777777" w:rsidR="00FA1C1A" w:rsidRPr="00FA1C1A" w:rsidRDefault="00FA1C1A" w:rsidP="00FA1C1A">
      <w:pPr>
        <w:spacing w:before="120" w:after="120"/>
        <w:jc w:val="both"/>
        <w:rPr>
          <w:rFonts w:eastAsia="Times New Roman" w:cs="Arial"/>
          <w:lang w:eastAsia="en-ZA"/>
        </w:rPr>
      </w:pPr>
      <w:r w:rsidRPr="00FA1C1A">
        <w:rPr>
          <w:rFonts w:eastAsia="Times New Roman" w:cs="Arial"/>
          <w:lang w:eastAsia="en-ZA"/>
        </w:rPr>
        <w:t>Over the past 90 years, i.e. since the beginning of 1925, the South African money market has delivered an average annual real return of only 0.9%, which means that a lump sum equivalent of R1,000 today, invested in 1925, would have grown to only around R2,200 at the end of 2014 after inflation is stripped out.</w:t>
      </w:r>
    </w:p>
    <w:p w14:paraId="3E0D2FB8" w14:textId="77777777" w:rsidR="00FA1C1A" w:rsidRPr="00FA1C1A" w:rsidRDefault="00FA1C1A" w:rsidP="00FA1C1A">
      <w:pPr>
        <w:spacing w:before="120" w:after="120"/>
        <w:jc w:val="both"/>
        <w:rPr>
          <w:rFonts w:eastAsia="Times New Roman" w:cs="Arial"/>
          <w:lang w:eastAsia="en-ZA"/>
        </w:rPr>
      </w:pPr>
      <w:r w:rsidRPr="00FA1C1A">
        <w:rPr>
          <w:rFonts w:eastAsia="Times New Roman" w:cs="Arial"/>
          <w:lang w:eastAsia="en-ZA"/>
        </w:rPr>
        <w:t>Real cash returns have been rather low since the global credit crisis of 2008/2009, the ensuing recession and the monetary stimulation in the form of lower nominal (and real) interest rates which have been in force since then.</w:t>
      </w:r>
    </w:p>
    <w:p w14:paraId="1AEC6D54" w14:textId="77777777" w:rsidR="00FA1C1A" w:rsidRPr="00FA1C1A" w:rsidRDefault="00FA1C1A" w:rsidP="00FA1C1A">
      <w:pPr>
        <w:spacing w:before="120" w:after="120"/>
        <w:jc w:val="both"/>
        <w:rPr>
          <w:rFonts w:eastAsia="Times New Roman" w:cs="Arial"/>
          <w:lang w:eastAsia="en-ZA"/>
        </w:rPr>
      </w:pPr>
      <w:r w:rsidRPr="00FA1C1A">
        <w:rPr>
          <w:rFonts w:eastAsia="Times New Roman" w:cs="Arial"/>
          <w:lang w:eastAsia="en-ZA"/>
        </w:rPr>
        <w:t xml:space="preserve">The statistical measure of risk, i.e. the standard deviation of monthly returns, has over 10-year average periods, ranged between 0% and 0.45%. The past 10 years’ standard deviation of </w:t>
      </w:r>
      <w:r w:rsidRPr="00FA1C1A">
        <w:rPr>
          <w:rFonts w:eastAsia="Times New Roman" w:cs="Arial"/>
          <w:lang w:eastAsia="en-ZA"/>
        </w:rPr>
        <w:lastRenderedPageBreak/>
        <w:t>nominal cash returns had averaged 0.19%, which was amongst the lowest levels recorded since the mid-1970s.</w:t>
      </w:r>
    </w:p>
    <w:p w14:paraId="7B2AEDED" w14:textId="77777777" w:rsidR="00FA1C1A" w:rsidRPr="00FA1C1A" w:rsidRDefault="00FA1C1A" w:rsidP="00FA1C1A">
      <w:pPr>
        <w:spacing w:before="120" w:after="120"/>
        <w:jc w:val="both"/>
        <w:rPr>
          <w:rFonts w:eastAsia="Times New Roman" w:cs="Arial"/>
          <w:lang w:eastAsia="en-ZA"/>
        </w:rPr>
      </w:pPr>
      <w:r w:rsidRPr="00FA1C1A">
        <w:rPr>
          <w:rFonts w:eastAsia="Times New Roman" w:cs="Arial"/>
          <w:noProof/>
          <w:lang w:eastAsia="en-ZA"/>
        </w:rPr>
        <w:drawing>
          <wp:inline distT="0" distB="0" distL="0" distR="0" wp14:anchorId="7E6BE01F" wp14:editId="332912CF">
            <wp:extent cx="5768542" cy="5074920"/>
            <wp:effectExtent l="0" t="0" r="3810" b="0"/>
            <wp:docPr id="47" name="Picture 47" descr="fig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fig6"/>
                    <pic:cNvPicPr>
                      <a:picLocks noChangeAspect="1" noChangeArrowheads="1"/>
                    </pic:cNvPicPr>
                  </pic:nvPicPr>
                  <pic:blipFill>
                    <a:blip r:embed="rId192">
                      <a:extLst>
                        <a:ext uri="{28A0092B-C50C-407E-A947-70E740481C1C}">
                          <a14:useLocalDpi xmlns:a14="http://schemas.microsoft.com/office/drawing/2010/main" val="0"/>
                        </a:ext>
                      </a:extLst>
                    </a:blip>
                    <a:srcRect/>
                    <a:stretch>
                      <a:fillRect/>
                    </a:stretch>
                  </pic:blipFill>
                  <pic:spPr bwMode="auto">
                    <a:xfrm>
                      <a:off x="0" y="0"/>
                      <a:ext cx="5784813" cy="5089234"/>
                    </a:xfrm>
                    <a:prstGeom prst="rect">
                      <a:avLst/>
                    </a:prstGeom>
                    <a:noFill/>
                    <a:ln>
                      <a:noFill/>
                    </a:ln>
                  </pic:spPr>
                </pic:pic>
              </a:graphicData>
            </a:graphic>
          </wp:inline>
        </w:drawing>
      </w:r>
    </w:p>
    <w:p w14:paraId="38F6A911" w14:textId="77777777" w:rsidR="00FA1C1A" w:rsidRPr="00FA1C1A" w:rsidRDefault="00FA1C1A" w:rsidP="00FA1C1A">
      <w:pPr>
        <w:spacing w:before="120" w:after="120"/>
        <w:jc w:val="both"/>
        <w:rPr>
          <w:rFonts w:eastAsia="Times New Roman" w:cs="Arial"/>
          <w:lang w:eastAsia="en-ZA"/>
        </w:rPr>
      </w:pPr>
      <w:r w:rsidRPr="00FA1C1A">
        <w:rPr>
          <w:rFonts w:eastAsia="Times New Roman" w:cs="Arial"/>
          <w:noProof/>
          <w:lang w:eastAsia="en-ZA"/>
        </w:rPr>
        <w:lastRenderedPageBreak/>
        <w:drawing>
          <wp:inline distT="0" distB="0" distL="0" distR="0" wp14:anchorId="12F95BEF" wp14:editId="54436B24">
            <wp:extent cx="5703139" cy="6256020"/>
            <wp:effectExtent l="0" t="0" r="0" b="0"/>
            <wp:docPr id="48" name="Picture 48" descr="fig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fig6"/>
                    <pic:cNvPicPr>
                      <a:picLocks noChangeAspect="1" noChangeArrowheads="1"/>
                    </pic:cNvPicPr>
                  </pic:nvPicPr>
                  <pic:blipFill>
                    <a:blip r:embed="rId193">
                      <a:extLst>
                        <a:ext uri="{28A0092B-C50C-407E-A947-70E740481C1C}">
                          <a14:useLocalDpi xmlns:a14="http://schemas.microsoft.com/office/drawing/2010/main" val="0"/>
                        </a:ext>
                      </a:extLst>
                    </a:blip>
                    <a:srcRect/>
                    <a:stretch>
                      <a:fillRect/>
                    </a:stretch>
                  </pic:blipFill>
                  <pic:spPr bwMode="auto">
                    <a:xfrm>
                      <a:off x="0" y="0"/>
                      <a:ext cx="5717315" cy="6271570"/>
                    </a:xfrm>
                    <a:prstGeom prst="rect">
                      <a:avLst/>
                    </a:prstGeom>
                    <a:noFill/>
                    <a:ln>
                      <a:noFill/>
                    </a:ln>
                  </pic:spPr>
                </pic:pic>
              </a:graphicData>
            </a:graphic>
          </wp:inline>
        </w:drawing>
      </w:r>
    </w:p>
    <w:p w14:paraId="69C0B057" w14:textId="77777777" w:rsidR="00FA1C1A" w:rsidRPr="00FA1C1A" w:rsidRDefault="00FA1C1A" w:rsidP="00FA1C1A">
      <w:pPr>
        <w:spacing w:before="120" w:after="120"/>
        <w:jc w:val="both"/>
        <w:rPr>
          <w:rFonts w:eastAsia="Times New Roman" w:cs="Arial"/>
          <w:lang w:eastAsia="en-ZA"/>
        </w:rPr>
      </w:pPr>
      <w:r w:rsidRPr="00FA1C1A">
        <w:rPr>
          <w:rFonts w:eastAsia="Times New Roman" w:cs="Arial"/>
          <w:noProof/>
          <w:lang w:eastAsia="en-ZA"/>
        </w:rPr>
        <w:lastRenderedPageBreak/>
        <w:drawing>
          <wp:inline distT="0" distB="0" distL="0" distR="0" wp14:anchorId="1278A073" wp14:editId="748EAF6B">
            <wp:extent cx="5694740" cy="6316980"/>
            <wp:effectExtent l="0" t="0" r="1270" b="7620"/>
            <wp:docPr id="49" name="Picture 49" descr="fig6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fig6a"/>
                    <pic:cNvPicPr>
                      <a:picLocks noChangeAspect="1" noChangeArrowheads="1"/>
                    </pic:cNvPicPr>
                  </pic:nvPicPr>
                  <pic:blipFill>
                    <a:blip r:embed="rId194">
                      <a:extLst>
                        <a:ext uri="{28A0092B-C50C-407E-A947-70E740481C1C}">
                          <a14:useLocalDpi xmlns:a14="http://schemas.microsoft.com/office/drawing/2010/main" val="0"/>
                        </a:ext>
                      </a:extLst>
                    </a:blip>
                    <a:srcRect/>
                    <a:stretch>
                      <a:fillRect/>
                    </a:stretch>
                  </pic:blipFill>
                  <pic:spPr bwMode="auto">
                    <a:xfrm>
                      <a:off x="0" y="0"/>
                      <a:ext cx="5709143" cy="6332957"/>
                    </a:xfrm>
                    <a:prstGeom prst="rect">
                      <a:avLst/>
                    </a:prstGeom>
                    <a:noFill/>
                    <a:ln>
                      <a:noFill/>
                    </a:ln>
                  </pic:spPr>
                </pic:pic>
              </a:graphicData>
            </a:graphic>
          </wp:inline>
        </w:drawing>
      </w:r>
    </w:p>
    <w:p w14:paraId="2039D82B" w14:textId="77777777" w:rsidR="00FA1C1A" w:rsidRPr="00FA1C1A" w:rsidRDefault="00FA1C1A" w:rsidP="00FA1C1A">
      <w:pPr>
        <w:spacing w:before="120" w:after="120"/>
        <w:jc w:val="both"/>
        <w:outlineLvl w:val="3"/>
        <w:rPr>
          <w:rFonts w:eastAsia="Times New Roman" w:cs="Arial"/>
          <w:b/>
          <w:bCs/>
          <w:lang w:eastAsia="en-ZA"/>
        </w:rPr>
      </w:pPr>
      <w:r w:rsidRPr="00FA1C1A">
        <w:rPr>
          <w:rFonts w:eastAsia="Times New Roman" w:cs="Arial"/>
          <w:b/>
          <w:bCs/>
          <w:lang w:eastAsia="en-ZA"/>
        </w:rPr>
        <w:t>Property market returns</w:t>
      </w:r>
    </w:p>
    <w:p w14:paraId="6626A5F0" w14:textId="77777777" w:rsidR="00FA1C1A" w:rsidRPr="00FA1C1A" w:rsidRDefault="00FA1C1A" w:rsidP="00FA1C1A">
      <w:pPr>
        <w:spacing w:before="120" w:after="120"/>
        <w:jc w:val="both"/>
        <w:rPr>
          <w:rFonts w:eastAsia="Times New Roman" w:cs="Arial"/>
          <w:lang w:eastAsia="en-ZA"/>
        </w:rPr>
      </w:pPr>
      <w:r w:rsidRPr="00FA1C1A">
        <w:rPr>
          <w:rFonts w:eastAsia="Times New Roman" w:cs="Arial"/>
          <w:lang w:eastAsia="en-ZA"/>
        </w:rPr>
        <w:t>Many private individuals are already exposed to the property market by virtue of owning one or more residential properties. Many investment advisors would therefore regard the “average” investor as being amply exposed to the property market. However, one’s primary residence is often mortgaged and does not have income-generating potential.</w:t>
      </w:r>
    </w:p>
    <w:p w14:paraId="73B8CA7E" w14:textId="77777777" w:rsidR="00FA1C1A" w:rsidRPr="00FA1C1A" w:rsidRDefault="00FA1C1A" w:rsidP="00FA1C1A">
      <w:pPr>
        <w:spacing w:before="120" w:after="120"/>
        <w:jc w:val="both"/>
        <w:rPr>
          <w:rFonts w:eastAsia="Times New Roman" w:cs="Arial"/>
          <w:lang w:eastAsia="en-ZA"/>
        </w:rPr>
      </w:pPr>
      <w:r w:rsidRPr="00FA1C1A">
        <w:rPr>
          <w:rFonts w:eastAsia="Times New Roman" w:cs="Arial"/>
          <w:lang w:eastAsia="en-ZA"/>
        </w:rPr>
        <w:t>Listed property returns have been fairly solid, measured over 10-year rolling periods. Since the beginning of 1968, the South African listed property market has delivered an average annual real return of 6.5% compared with the 7.9% achieved on equity over this period. However, the investment risk associated with listed properties, has been lower than for equities and measured around 2.4% per month over the past 10 years.</w:t>
      </w:r>
    </w:p>
    <w:p w14:paraId="133D299B" w14:textId="77777777" w:rsidR="00FA1C1A" w:rsidRPr="00FA1C1A" w:rsidRDefault="00FA1C1A" w:rsidP="00FA1C1A">
      <w:pPr>
        <w:spacing w:before="120" w:after="120"/>
        <w:jc w:val="both"/>
        <w:rPr>
          <w:rFonts w:eastAsia="Times New Roman" w:cs="Arial"/>
          <w:lang w:eastAsia="en-ZA"/>
        </w:rPr>
      </w:pPr>
      <w:r w:rsidRPr="00FA1C1A">
        <w:rPr>
          <w:rFonts w:eastAsia="Times New Roman" w:cs="Arial"/>
          <w:lang w:eastAsia="en-ZA"/>
        </w:rPr>
        <w:t>In 2013, Real Estate Investment Trusts (REITs) have been introduced to the South African market which has no entry tax and no capital gains tax on the profit from the sale of property owned by the holding company. All distributions to shareholders or linked unit holders are tax deductible. The implication for retail investors is that income returns or yields are fairly high (usually 6% – 8%) while there is additional scope for capital gains. However, retail investors or investment funds holding REIT units are taxed in full on the income.</w:t>
      </w:r>
    </w:p>
    <w:p w14:paraId="2C71CD17" w14:textId="77777777" w:rsidR="00FA1C1A" w:rsidRPr="00FA1C1A" w:rsidRDefault="00FA1C1A" w:rsidP="00FA1C1A">
      <w:pPr>
        <w:spacing w:before="120" w:after="120"/>
        <w:jc w:val="both"/>
        <w:rPr>
          <w:rFonts w:eastAsia="Times New Roman" w:cs="Arial"/>
          <w:lang w:eastAsia="en-ZA"/>
        </w:rPr>
      </w:pPr>
      <w:r w:rsidRPr="00FA1C1A">
        <w:rPr>
          <w:rFonts w:eastAsia="Times New Roman" w:cs="Arial"/>
          <w:noProof/>
          <w:lang w:eastAsia="en-ZA"/>
        </w:rPr>
        <w:lastRenderedPageBreak/>
        <w:drawing>
          <wp:inline distT="0" distB="0" distL="0" distR="0" wp14:anchorId="5634AE8E" wp14:editId="418AD3F8">
            <wp:extent cx="5684520" cy="5259929"/>
            <wp:effectExtent l="0" t="0" r="0" b="0"/>
            <wp:docPr id="50" name="Picture 50" descr="fig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fig7"/>
                    <pic:cNvPicPr>
                      <a:picLocks noChangeAspect="1" noChangeArrowheads="1"/>
                    </pic:cNvPicPr>
                  </pic:nvPicPr>
                  <pic:blipFill>
                    <a:blip r:embed="rId195">
                      <a:extLst>
                        <a:ext uri="{28A0092B-C50C-407E-A947-70E740481C1C}">
                          <a14:useLocalDpi xmlns:a14="http://schemas.microsoft.com/office/drawing/2010/main" val="0"/>
                        </a:ext>
                      </a:extLst>
                    </a:blip>
                    <a:srcRect/>
                    <a:stretch>
                      <a:fillRect/>
                    </a:stretch>
                  </pic:blipFill>
                  <pic:spPr bwMode="auto">
                    <a:xfrm>
                      <a:off x="0" y="0"/>
                      <a:ext cx="5695307" cy="5269910"/>
                    </a:xfrm>
                    <a:prstGeom prst="rect">
                      <a:avLst/>
                    </a:prstGeom>
                    <a:noFill/>
                    <a:ln>
                      <a:noFill/>
                    </a:ln>
                  </pic:spPr>
                </pic:pic>
              </a:graphicData>
            </a:graphic>
          </wp:inline>
        </w:drawing>
      </w:r>
    </w:p>
    <w:p w14:paraId="24D5C486" w14:textId="77777777" w:rsidR="00FA1C1A" w:rsidRPr="00FA1C1A" w:rsidRDefault="00FA1C1A" w:rsidP="00FA1C1A">
      <w:pPr>
        <w:spacing w:before="120" w:after="120"/>
        <w:jc w:val="both"/>
        <w:rPr>
          <w:rFonts w:eastAsia="Times New Roman" w:cs="Arial"/>
          <w:lang w:eastAsia="en-ZA"/>
        </w:rPr>
      </w:pPr>
      <w:r w:rsidRPr="00FA1C1A">
        <w:rPr>
          <w:rFonts w:eastAsia="Times New Roman" w:cs="Arial"/>
          <w:noProof/>
          <w:lang w:eastAsia="en-ZA"/>
        </w:rPr>
        <w:lastRenderedPageBreak/>
        <w:drawing>
          <wp:inline distT="0" distB="0" distL="0" distR="0" wp14:anchorId="6C4A4D21" wp14:editId="395A858B">
            <wp:extent cx="5691759" cy="6172200"/>
            <wp:effectExtent l="0" t="0" r="4445" b="0"/>
            <wp:docPr id="51" name="Picture 51" descr="fig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fig8"/>
                    <pic:cNvPicPr>
                      <a:picLocks noChangeAspect="1" noChangeArrowheads="1"/>
                    </pic:cNvPicPr>
                  </pic:nvPicPr>
                  <pic:blipFill>
                    <a:blip r:embed="rId196">
                      <a:extLst>
                        <a:ext uri="{28A0092B-C50C-407E-A947-70E740481C1C}">
                          <a14:useLocalDpi xmlns:a14="http://schemas.microsoft.com/office/drawing/2010/main" val="0"/>
                        </a:ext>
                      </a:extLst>
                    </a:blip>
                    <a:srcRect/>
                    <a:stretch>
                      <a:fillRect/>
                    </a:stretch>
                  </pic:blipFill>
                  <pic:spPr bwMode="auto">
                    <a:xfrm>
                      <a:off x="0" y="0"/>
                      <a:ext cx="5704045" cy="6185523"/>
                    </a:xfrm>
                    <a:prstGeom prst="rect">
                      <a:avLst/>
                    </a:prstGeom>
                    <a:noFill/>
                    <a:ln>
                      <a:noFill/>
                    </a:ln>
                  </pic:spPr>
                </pic:pic>
              </a:graphicData>
            </a:graphic>
          </wp:inline>
        </w:drawing>
      </w:r>
    </w:p>
    <w:p w14:paraId="37E10200" w14:textId="77777777" w:rsidR="00FA1C1A" w:rsidRPr="00FA1C1A" w:rsidRDefault="00FA1C1A" w:rsidP="00FA1C1A">
      <w:pPr>
        <w:spacing w:before="120" w:after="120"/>
        <w:jc w:val="both"/>
        <w:outlineLvl w:val="3"/>
        <w:rPr>
          <w:rFonts w:eastAsia="Times New Roman" w:cs="Arial"/>
          <w:b/>
          <w:bCs/>
          <w:lang w:eastAsia="en-ZA"/>
        </w:rPr>
      </w:pPr>
      <w:r w:rsidRPr="00FA1C1A">
        <w:rPr>
          <w:rFonts w:eastAsia="Times New Roman" w:cs="Arial"/>
          <w:b/>
          <w:bCs/>
          <w:lang w:eastAsia="en-ZA"/>
        </w:rPr>
        <w:t>Gold market returns</w:t>
      </w:r>
    </w:p>
    <w:p w14:paraId="4E16921D" w14:textId="77777777" w:rsidR="00FA1C1A" w:rsidRPr="00FA1C1A" w:rsidRDefault="00FA1C1A" w:rsidP="00FA1C1A">
      <w:pPr>
        <w:spacing w:before="120" w:after="120"/>
        <w:jc w:val="both"/>
        <w:rPr>
          <w:rFonts w:eastAsia="Times New Roman" w:cs="Arial"/>
          <w:lang w:eastAsia="en-ZA"/>
        </w:rPr>
      </w:pPr>
      <w:r w:rsidRPr="00FA1C1A">
        <w:rPr>
          <w:rFonts w:eastAsia="Times New Roman" w:cs="Arial"/>
          <w:lang w:eastAsia="en-ZA"/>
        </w:rPr>
        <w:t>Gold suffers from three primary drawbacks: It is a physical commodity which could potentially entail safe-keeping costs; it does not have an income component; and it is no longer a “store of value” in the sense that currencies are directly convertible into gold. Its price is therefore often correlated with the so-called commodity cycle. However, the known reserves of gold ore are diminishing while extraction costs are rising. It can also be a good currency hedge during times of crises.</w:t>
      </w:r>
    </w:p>
    <w:p w14:paraId="52F053C0" w14:textId="77777777" w:rsidR="00FA1C1A" w:rsidRPr="00FA1C1A" w:rsidRDefault="00FA1C1A" w:rsidP="00FA1C1A">
      <w:pPr>
        <w:spacing w:before="120" w:after="120"/>
        <w:jc w:val="both"/>
        <w:rPr>
          <w:rFonts w:eastAsia="Times New Roman" w:cs="Arial"/>
          <w:lang w:eastAsia="en-ZA"/>
        </w:rPr>
      </w:pPr>
      <w:r w:rsidRPr="00FA1C1A">
        <w:rPr>
          <w:rFonts w:eastAsia="Times New Roman" w:cs="Arial"/>
          <w:lang w:eastAsia="en-ZA"/>
        </w:rPr>
        <w:t>Since the beginning of 1966, gold, as measured by the rand bullion price thereof, has increased by 4.8% p.a. in real terms.</w:t>
      </w:r>
    </w:p>
    <w:p w14:paraId="68C9D832" w14:textId="77777777" w:rsidR="00FA1C1A" w:rsidRPr="00FA1C1A" w:rsidRDefault="00FA1C1A" w:rsidP="00FA1C1A">
      <w:pPr>
        <w:spacing w:before="120" w:after="120"/>
        <w:jc w:val="both"/>
        <w:rPr>
          <w:rFonts w:eastAsia="Times New Roman" w:cs="Arial"/>
          <w:lang w:eastAsia="en-ZA"/>
        </w:rPr>
      </w:pPr>
      <w:r w:rsidRPr="00FA1C1A">
        <w:rPr>
          <w:rFonts w:eastAsia="Times New Roman" w:cs="Arial"/>
          <w:lang w:eastAsia="en-ZA"/>
        </w:rPr>
        <w:t>With the exception of 1984 and 1985, the 1980’s was the longest recorded period of price declines since 1966. Since around 1996, the 10-year rolling return on gold has generally improved. By the end of last year, this return measured 13.2% p.a., on average, for the period 2005-2014.</w:t>
      </w:r>
    </w:p>
    <w:p w14:paraId="2277E223" w14:textId="77777777" w:rsidR="00FA1C1A" w:rsidRPr="00FA1C1A" w:rsidRDefault="00FA1C1A" w:rsidP="00FA1C1A">
      <w:pPr>
        <w:spacing w:before="120" w:after="120"/>
        <w:jc w:val="both"/>
        <w:rPr>
          <w:rFonts w:eastAsia="Times New Roman" w:cs="Arial"/>
          <w:lang w:eastAsia="en-ZA"/>
        </w:rPr>
      </w:pPr>
      <w:r w:rsidRPr="00FA1C1A">
        <w:rPr>
          <w:rFonts w:eastAsia="Times New Roman" w:cs="Arial"/>
          <w:noProof/>
          <w:lang w:eastAsia="en-ZA"/>
        </w:rPr>
        <w:lastRenderedPageBreak/>
        <w:drawing>
          <wp:inline distT="0" distB="0" distL="0" distR="0" wp14:anchorId="6EC5C7C5" wp14:editId="704561D9">
            <wp:extent cx="5699818" cy="5227320"/>
            <wp:effectExtent l="0" t="0" r="0" b="0"/>
            <wp:docPr id="52" name="Picture 52" descr="fig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fig9"/>
                    <pic:cNvPicPr>
                      <a:picLocks noChangeAspect="1" noChangeArrowheads="1"/>
                    </pic:cNvPicPr>
                  </pic:nvPicPr>
                  <pic:blipFill>
                    <a:blip r:embed="rId197">
                      <a:extLst>
                        <a:ext uri="{28A0092B-C50C-407E-A947-70E740481C1C}">
                          <a14:useLocalDpi xmlns:a14="http://schemas.microsoft.com/office/drawing/2010/main" val="0"/>
                        </a:ext>
                      </a:extLst>
                    </a:blip>
                    <a:srcRect/>
                    <a:stretch>
                      <a:fillRect/>
                    </a:stretch>
                  </pic:blipFill>
                  <pic:spPr bwMode="auto">
                    <a:xfrm>
                      <a:off x="0" y="0"/>
                      <a:ext cx="5712945" cy="5239359"/>
                    </a:xfrm>
                    <a:prstGeom prst="rect">
                      <a:avLst/>
                    </a:prstGeom>
                    <a:noFill/>
                    <a:ln>
                      <a:noFill/>
                    </a:ln>
                  </pic:spPr>
                </pic:pic>
              </a:graphicData>
            </a:graphic>
          </wp:inline>
        </w:drawing>
      </w:r>
    </w:p>
    <w:p w14:paraId="6C2B28BC" w14:textId="77777777" w:rsidR="00FA1C1A" w:rsidRPr="00FA1C1A" w:rsidRDefault="00FA1C1A" w:rsidP="00FA1C1A">
      <w:pPr>
        <w:spacing w:before="120" w:after="120"/>
        <w:jc w:val="both"/>
        <w:rPr>
          <w:rFonts w:eastAsia="Times New Roman" w:cs="Arial"/>
          <w:lang w:eastAsia="en-ZA"/>
        </w:rPr>
      </w:pPr>
      <w:r w:rsidRPr="00FA1C1A">
        <w:rPr>
          <w:rFonts w:eastAsia="Times New Roman" w:cs="Arial"/>
          <w:noProof/>
          <w:lang w:eastAsia="en-ZA"/>
        </w:rPr>
        <w:lastRenderedPageBreak/>
        <w:drawing>
          <wp:inline distT="0" distB="0" distL="0" distR="0" wp14:anchorId="3CD7469C" wp14:editId="185ED4DB">
            <wp:extent cx="5704807" cy="4335654"/>
            <wp:effectExtent l="0" t="0" r="0" b="8255"/>
            <wp:docPr id="53" name="Picture 53" descr="Screen Shot 2015-06-02 at 11.27.46 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Screen Shot 2015-06-02 at 11.27.46 AM"/>
                    <pic:cNvPicPr>
                      <a:picLocks noChangeAspect="1" noChangeArrowheads="1"/>
                    </pic:cNvPicPr>
                  </pic:nvPicPr>
                  <pic:blipFill>
                    <a:blip r:embed="rId198">
                      <a:extLst>
                        <a:ext uri="{28A0092B-C50C-407E-A947-70E740481C1C}">
                          <a14:useLocalDpi xmlns:a14="http://schemas.microsoft.com/office/drawing/2010/main" val="0"/>
                        </a:ext>
                      </a:extLst>
                    </a:blip>
                    <a:srcRect/>
                    <a:stretch>
                      <a:fillRect/>
                    </a:stretch>
                  </pic:blipFill>
                  <pic:spPr bwMode="auto">
                    <a:xfrm>
                      <a:off x="0" y="0"/>
                      <a:ext cx="5720286" cy="4347418"/>
                    </a:xfrm>
                    <a:prstGeom prst="rect">
                      <a:avLst/>
                    </a:prstGeom>
                    <a:noFill/>
                    <a:ln>
                      <a:noFill/>
                    </a:ln>
                  </pic:spPr>
                </pic:pic>
              </a:graphicData>
            </a:graphic>
          </wp:inline>
        </w:drawing>
      </w:r>
    </w:p>
    <w:p w14:paraId="4EC6B433" w14:textId="77777777" w:rsidR="00FA1C1A" w:rsidRPr="00FA1C1A" w:rsidRDefault="00FA1C1A" w:rsidP="00FA1C1A">
      <w:pPr>
        <w:spacing w:before="120" w:after="120"/>
        <w:jc w:val="both"/>
        <w:outlineLvl w:val="3"/>
        <w:rPr>
          <w:rFonts w:eastAsia="Times New Roman" w:cs="Arial"/>
          <w:b/>
          <w:bCs/>
          <w:lang w:eastAsia="en-ZA"/>
        </w:rPr>
      </w:pPr>
      <w:r w:rsidRPr="00FA1C1A">
        <w:rPr>
          <w:rFonts w:eastAsia="Times New Roman" w:cs="Arial"/>
          <w:b/>
          <w:bCs/>
          <w:lang w:eastAsia="en-ZA"/>
        </w:rPr>
        <w:t>The efficient frontier</w:t>
      </w:r>
    </w:p>
    <w:p w14:paraId="37FBE4C4" w14:textId="77777777" w:rsidR="00FA1C1A" w:rsidRPr="00FA1C1A" w:rsidRDefault="00FA1C1A" w:rsidP="00FA1C1A">
      <w:pPr>
        <w:spacing w:before="120" w:after="120"/>
        <w:jc w:val="both"/>
        <w:rPr>
          <w:rFonts w:eastAsia="Times New Roman" w:cs="Arial"/>
          <w:lang w:eastAsia="en-ZA"/>
        </w:rPr>
      </w:pPr>
      <w:r w:rsidRPr="00FA1C1A">
        <w:rPr>
          <w:rFonts w:eastAsia="Times New Roman" w:cs="Arial"/>
          <w:lang w:eastAsia="en-ZA"/>
        </w:rPr>
        <w:t>The efficient frontier shows the combination of risk and return levels that could have been obtained by different asset weightings. The curve is “efficient” in the sense that no higher return was possible for the particular level of portfolio risk, or put differently, it shows the minimum risk level that could have been achieved for a particular rate of return.</w:t>
      </w:r>
    </w:p>
    <w:p w14:paraId="5583FDAE" w14:textId="77777777" w:rsidR="00FA1C1A" w:rsidRPr="00FA1C1A" w:rsidRDefault="00FA1C1A" w:rsidP="00FA1C1A">
      <w:pPr>
        <w:spacing w:before="120" w:after="120"/>
        <w:jc w:val="both"/>
        <w:rPr>
          <w:rFonts w:eastAsia="Times New Roman" w:cs="Arial"/>
          <w:lang w:eastAsia="en-ZA"/>
        </w:rPr>
      </w:pPr>
      <w:r w:rsidRPr="00FA1C1A">
        <w:rPr>
          <w:rFonts w:eastAsia="Times New Roman" w:cs="Arial"/>
          <w:lang w:eastAsia="en-ZA"/>
        </w:rPr>
        <w:t>The five asset classes discussed previously were included in the optimisation. Returns were calculated by minimising the risk levels at each point on the curve. The only other constraints imposed were that cash needed to be at least 5%, while property was limited to a maximum of 15% of the portfolio.</w:t>
      </w:r>
    </w:p>
    <w:p w14:paraId="43A7EB2E" w14:textId="77777777" w:rsidR="00FA1C1A" w:rsidRPr="00FA1C1A" w:rsidRDefault="00FA1C1A" w:rsidP="00FA1C1A">
      <w:pPr>
        <w:spacing w:before="120" w:after="120"/>
        <w:jc w:val="both"/>
        <w:rPr>
          <w:rFonts w:eastAsia="Times New Roman" w:cs="Arial"/>
          <w:lang w:eastAsia="en-ZA"/>
        </w:rPr>
      </w:pPr>
      <w:r w:rsidRPr="00FA1C1A">
        <w:rPr>
          <w:rFonts w:eastAsia="Times New Roman" w:cs="Arial"/>
          <w:noProof/>
          <w:lang w:eastAsia="en-ZA"/>
        </w:rPr>
        <w:lastRenderedPageBreak/>
        <w:drawing>
          <wp:inline distT="0" distB="0" distL="0" distR="0" wp14:anchorId="468DD045" wp14:editId="10F6A9CD">
            <wp:extent cx="5735391" cy="4191000"/>
            <wp:effectExtent l="0" t="0" r="0" b="0"/>
            <wp:docPr id="54" name="Picture 54" descr="Screen Shot 2015-06-02 at 11.28.29 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Screen Shot 2015-06-02 at 11.28.29 AM"/>
                    <pic:cNvPicPr>
                      <a:picLocks noChangeAspect="1" noChangeArrowheads="1"/>
                    </pic:cNvPicPr>
                  </pic:nvPicPr>
                  <pic:blipFill>
                    <a:blip r:embed="rId199">
                      <a:extLst>
                        <a:ext uri="{28A0092B-C50C-407E-A947-70E740481C1C}">
                          <a14:useLocalDpi xmlns:a14="http://schemas.microsoft.com/office/drawing/2010/main" val="0"/>
                        </a:ext>
                      </a:extLst>
                    </a:blip>
                    <a:srcRect/>
                    <a:stretch>
                      <a:fillRect/>
                    </a:stretch>
                  </pic:blipFill>
                  <pic:spPr bwMode="auto">
                    <a:xfrm>
                      <a:off x="0" y="0"/>
                      <a:ext cx="5768792" cy="4215407"/>
                    </a:xfrm>
                    <a:prstGeom prst="rect">
                      <a:avLst/>
                    </a:prstGeom>
                    <a:noFill/>
                    <a:ln>
                      <a:noFill/>
                    </a:ln>
                  </pic:spPr>
                </pic:pic>
              </a:graphicData>
            </a:graphic>
          </wp:inline>
        </w:drawing>
      </w:r>
    </w:p>
    <w:p w14:paraId="1BF61DED" w14:textId="77777777" w:rsidR="00FA1C1A" w:rsidRPr="00FA1C1A" w:rsidRDefault="00FA1C1A" w:rsidP="00FA1C1A">
      <w:pPr>
        <w:spacing w:before="120" w:after="120"/>
        <w:jc w:val="both"/>
        <w:rPr>
          <w:rFonts w:eastAsia="Times New Roman" w:cs="Arial"/>
          <w:lang w:eastAsia="en-ZA"/>
        </w:rPr>
      </w:pPr>
      <w:r w:rsidRPr="00FA1C1A">
        <w:rPr>
          <w:rFonts w:eastAsia="Times New Roman" w:cs="Arial"/>
          <w:lang w:eastAsia="en-ZA"/>
        </w:rPr>
        <w:t>Although gold (coins or bullion) is not often included as part of a balanced portfolio, the results were interesting in the sense that over the past 10 years, gold coins (perhaps in the form of Krugerrands) did show some return enhancing / risk reducing properties in medium risk portfolios.</w:t>
      </w:r>
    </w:p>
    <w:p w14:paraId="4BE6DB3F" w14:textId="77777777" w:rsidR="00FA1C1A" w:rsidRPr="00FA1C1A" w:rsidRDefault="00FA1C1A" w:rsidP="00FA1C1A">
      <w:pPr>
        <w:spacing w:before="120" w:after="120"/>
        <w:jc w:val="both"/>
        <w:rPr>
          <w:rFonts w:eastAsia="Times New Roman" w:cs="Arial"/>
          <w:lang w:eastAsia="en-ZA"/>
        </w:rPr>
      </w:pPr>
      <w:r w:rsidRPr="00FA1C1A">
        <w:rPr>
          <w:rFonts w:eastAsia="Times New Roman" w:cs="Arial"/>
          <w:lang w:eastAsia="en-ZA"/>
        </w:rPr>
        <w:t>The lowest risk portfolio (A) would have been 100% invested in cash with a 7.5% nominal return and a 0.13% standard deviation, meaning that one assumed about a two-thirds probability of achieving a return between 7.4% and 7.6% on this asset class. For the highest risk portfolio (C), the equivalent risk probability would imply a return of between -0.3% and 36.3% with an expected mean return of around 18%. Equity would have made up 75% of such a portfolio.</w:t>
      </w:r>
    </w:p>
    <w:p w14:paraId="7275EB08" w14:textId="77777777" w:rsidR="00FA1C1A" w:rsidRPr="00FA1C1A" w:rsidRDefault="00FA1C1A" w:rsidP="00FA1C1A">
      <w:pPr>
        <w:spacing w:before="120" w:after="120"/>
        <w:jc w:val="both"/>
        <w:rPr>
          <w:rFonts w:eastAsia="Times New Roman" w:cs="Arial"/>
          <w:lang w:eastAsia="en-ZA"/>
        </w:rPr>
      </w:pPr>
      <w:r w:rsidRPr="00FA1C1A">
        <w:rPr>
          <w:rFonts w:eastAsia="Times New Roman" w:cs="Arial"/>
          <w:lang w:eastAsia="en-ZA"/>
        </w:rPr>
        <w:t>Although the outcomes in this graph are based on fact (i.e. actual achieved returns), an investor could use historical risk and return measures to construct portfolios for the future, provided that the assumption is made that the variances and covariances remain more or less the same.</w:t>
      </w:r>
    </w:p>
    <w:p w14:paraId="30C6885E" w14:textId="77777777" w:rsidR="00FA1C1A" w:rsidRPr="00FA1C1A" w:rsidRDefault="00FA1C1A" w:rsidP="00FA1C1A">
      <w:pPr>
        <w:spacing w:before="120" w:after="120"/>
        <w:jc w:val="both"/>
        <w:rPr>
          <w:rFonts w:eastAsia="Times New Roman" w:cs="Arial"/>
          <w:lang w:eastAsia="en-ZA"/>
        </w:rPr>
      </w:pPr>
      <w:r w:rsidRPr="00FA1C1A">
        <w:rPr>
          <w:rFonts w:eastAsia="Times New Roman" w:cs="Arial"/>
          <w:noProof/>
          <w:lang w:eastAsia="en-ZA"/>
        </w:rPr>
        <w:drawing>
          <wp:inline distT="0" distB="0" distL="0" distR="0" wp14:anchorId="2AD27F65" wp14:editId="31C4A1D9">
            <wp:extent cx="5760720" cy="1803356"/>
            <wp:effectExtent l="0" t="0" r="0" b="6985"/>
            <wp:docPr id="55" name="Picture 55" descr="tabl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tabl1"/>
                    <pic:cNvPicPr>
                      <a:picLocks noChangeAspect="1" noChangeArrowheads="1"/>
                    </pic:cNvPicPr>
                  </pic:nvPicPr>
                  <pic:blipFill>
                    <a:blip r:embed="rId200">
                      <a:extLst>
                        <a:ext uri="{28A0092B-C50C-407E-A947-70E740481C1C}">
                          <a14:useLocalDpi xmlns:a14="http://schemas.microsoft.com/office/drawing/2010/main" val="0"/>
                        </a:ext>
                      </a:extLst>
                    </a:blip>
                    <a:srcRect/>
                    <a:stretch>
                      <a:fillRect/>
                    </a:stretch>
                  </pic:blipFill>
                  <pic:spPr bwMode="auto">
                    <a:xfrm>
                      <a:off x="0" y="0"/>
                      <a:ext cx="5808314" cy="1818255"/>
                    </a:xfrm>
                    <a:prstGeom prst="rect">
                      <a:avLst/>
                    </a:prstGeom>
                    <a:noFill/>
                    <a:ln>
                      <a:noFill/>
                    </a:ln>
                  </pic:spPr>
                </pic:pic>
              </a:graphicData>
            </a:graphic>
          </wp:inline>
        </w:drawing>
      </w:r>
    </w:p>
    <w:p w14:paraId="4B6A5EBB" w14:textId="77777777" w:rsidR="00FA1C1A" w:rsidRPr="00FA1C1A" w:rsidRDefault="00FA1C1A" w:rsidP="00FA1C1A">
      <w:pPr>
        <w:spacing w:before="120" w:after="120"/>
        <w:jc w:val="both"/>
        <w:rPr>
          <w:rFonts w:eastAsia="Times New Roman" w:cs="Arial"/>
          <w:lang w:eastAsia="en-ZA"/>
        </w:rPr>
      </w:pPr>
      <w:r w:rsidRPr="00FA1C1A">
        <w:rPr>
          <w:rFonts w:eastAsia="Times New Roman" w:cs="Arial"/>
          <w:i/>
          <w:iCs/>
          <w:lang w:eastAsia="en-ZA"/>
        </w:rPr>
        <w:t xml:space="preserve">Note: This efficient frontier analysis was performed on annual nominal returns, while the returns on the individual </w:t>
      </w:r>
    </w:p>
    <w:p w14:paraId="1A59D906" w14:textId="77777777" w:rsidR="00FA1C1A" w:rsidRDefault="00FA1C1A">
      <w:pPr>
        <w:rPr>
          <w:rFonts w:eastAsia="Times New Roman" w:cs="Arial"/>
          <w:b/>
          <w:bCs/>
          <w:lang w:eastAsia="en-ZA"/>
        </w:rPr>
      </w:pPr>
      <w:r>
        <w:rPr>
          <w:rFonts w:eastAsia="Times New Roman" w:cs="Arial"/>
          <w:b/>
          <w:bCs/>
          <w:lang w:eastAsia="en-ZA"/>
        </w:rPr>
        <w:br w:type="page"/>
      </w:r>
    </w:p>
    <w:p w14:paraId="4AC10AF1" w14:textId="0AF955B6" w:rsidR="00FA1C1A" w:rsidRPr="00FA1C1A" w:rsidRDefault="00FA1C1A" w:rsidP="00FA1C1A">
      <w:pPr>
        <w:spacing w:before="120" w:after="120"/>
        <w:jc w:val="both"/>
        <w:outlineLvl w:val="3"/>
        <w:rPr>
          <w:rFonts w:eastAsia="Times New Roman" w:cs="Arial"/>
          <w:b/>
          <w:bCs/>
          <w:lang w:eastAsia="en-ZA"/>
        </w:rPr>
      </w:pPr>
      <w:r w:rsidRPr="00FA1C1A">
        <w:rPr>
          <w:rFonts w:eastAsia="Times New Roman" w:cs="Arial"/>
          <w:b/>
          <w:bCs/>
          <w:lang w:eastAsia="en-ZA"/>
        </w:rPr>
        <w:lastRenderedPageBreak/>
        <w:t>UK &amp; US vs SA returns</w:t>
      </w:r>
    </w:p>
    <w:p w14:paraId="6ACDA5AD" w14:textId="77777777" w:rsidR="00FA1C1A" w:rsidRPr="00FA1C1A" w:rsidRDefault="00FA1C1A" w:rsidP="00FA1C1A">
      <w:pPr>
        <w:spacing w:before="120" w:after="120"/>
        <w:jc w:val="both"/>
        <w:rPr>
          <w:rFonts w:eastAsia="Times New Roman" w:cs="Arial"/>
          <w:lang w:eastAsia="en-ZA"/>
        </w:rPr>
      </w:pPr>
      <w:r w:rsidRPr="00FA1C1A">
        <w:rPr>
          <w:rFonts w:eastAsia="Times New Roman" w:cs="Arial"/>
          <w:lang w:eastAsia="en-ZA"/>
        </w:rPr>
        <w:t>Looking at exposures in local real currency values, South African equities were the clear winner in the 1964-74 period, while losses on South African bonds were lower than in the US and UK during this time.</w:t>
      </w:r>
    </w:p>
    <w:p w14:paraId="6E59CDCA" w14:textId="77777777" w:rsidR="00FA1C1A" w:rsidRPr="00FA1C1A" w:rsidRDefault="00FA1C1A" w:rsidP="00FA1C1A">
      <w:pPr>
        <w:spacing w:before="120" w:after="120"/>
        <w:jc w:val="both"/>
        <w:rPr>
          <w:rFonts w:eastAsia="Times New Roman" w:cs="Arial"/>
          <w:lang w:eastAsia="en-ZA"/>
        </w:rPr>
      </w:pPr>
      <w:r w:rsidRPr="00FA1C1A">
        <w:rPr>
          <w:rFonts w:eastAsia="Times New Roman" w:cs="Arial"/>
          <w:lang w:eastAsia="en-ZA"/>
        </w:rPr>
        <w:t>The good equity returns in SA continued during all periods since then, although during three of the five 10-year periods either UK or US returns had a better real equity performance in local currencies.</w:t>
      </w:r>
    </w:p>
    <w:p w14:paraId="0638A69D" w14:textId="77777777" w:rsidR="00FA1C1A" w:rsidRPr="00FA1C1A" w:rsidRDefault="00FA1C1A" w:rsidP="00FA1C1A">
      <w:pPr>
        <w:spacing w:before="120" w:after="120"/>
        <w:jc w:val="both"/>
        <w:rPr>
          <w:rFonts w:eastAsia="Times New Roman" w:cs="Arial"/>
          <w:lang w:eastAsia="en-ZA"/>
        </w:rPr>
      </w:pPr>
      <w:r w:rsidRPr="00FA1C1A">
        <w:rPr>
          <w:rFonts w:eastAsia="Times New Roman" w:cs="Arial"/>
          <w:noProof/>
          <w:lang w:eastAsia="en-ZA"/>
        </w:rPr>
        <w:drawing>
          <wp:inline distT="0" distB="0" distL="0" distR="0" wp14:anchorId="62C26154" wp14:editId="67BC8820">
            <wp:extent cx="5707380" cy="1951966"/>
            <wp:effectExtent l="0" t="0" r="7620" b="0"/>
            <wp:docPr id="56" name="Picture 56" descr="tabl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table2"/>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5723314" cy="1957416"/>
                    </a:xfrm>
                    <a:prstGeom prst="rect">
                      <a:avLst/>
                    </a:prstGeom>
                    <a:noFill/>
                    <a:ln>
                      <a:noFill/>
                    </a:ln>
                  </pic:spPr>
                </pic:pic>
              </a:graphicData>
            </a:graphic>
          </wp:inline>
        </w:drawing>
      </w:r>
    </w:p>
    <w:p w14:paraId="465C7BA0" w14:textId="77777777" w:rsidR="00FA1C1A" w:rsidRPr="00FA1C1A" w:rsidRDefault="00FA1C1A" w:rsidP="00FA1C1A">
      <w:pPr>
        <w:spacing w:before="120" w:after="120"/>
        <w:jc w:val="both"/>
        <w:rPr>
          <w:rFonts w:eastAsia="Times New Roman" w:cs="Arial"/>
          <w:lang w:eastAsia="en-ZA"/>
        </w:rPr>
      </w:pPr>
      <w:r w:rsidRPr="00FA1C1A">
        <w:rPr>
          <w:rFonts w:eastAsia="Times New Roman" w:cs="Arial"/>
          <w:i/>
          <w:iCs/>
          <w:lang w:eastAsia="en-ZA"/>
        </w:rPr>
        <w:t>Note: The UK real returns are from the Barclays Equity-Gilt study; US returns from Stern NYU</w:t>
      </w:r>
    </w:p>
    <w:p w14:paraId="64FF7181" w14:textId="77777777" w:rsidR="00FA1C1A" w:rsidRPr="00FA1C1A" w:rsidRDefault="00FA1C1A" w:rsidP="00FA1C1A">
      <w:pPr>
        <w:spacing w:before="120" w:after="120"/>
        <w:jc w:val="both"/>
        <w:rPr>
          <w:rFonts w:eastAsia="Times New Roman" w:cs="Arial"/>
          <w:lang w:eastAsia="en-ZA"/>
        </w:rPr>
      </w:pPr>
      <w:r w:rsidRPr="00FA1C1A">
        <w:rPr>
          <w:rFonts w:eastAsia="Times New Roman" w:cs="Arial"/>
          <w:noProof/>
          <w:lang w:eastAsia="en-ZA"/>
        </w:rPr>
        <w:drawing>
          <wp:inline distT="0" distB="0" distL="0" distR="0" wp14:anchorId="271ED79E" wp14:editId="0D8EFB5E">
            <wp:extent cx="5669280" cy="1882709"/>
            <wp:effectExtent l="0" t="0" r="7620" b="3810"/>
            <wp:docPr id="57" name="Picture 57" descr="table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table3"/>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5712315" cy="1897000"/>
                    </a:xfrm>
                    <a:prstGeom prst="rect">
                      <a:avLst/>
                    </a:prstGeom>
                    <a:noFill/>
                    <a:ln>
                      <a:noFill/>
                    </a:ln>
                  </pic:spPr>
                </pic:pic>
              </a:graphicData>
            </a:graphic>
          </wp:inline>
        </w:drawing>
      </w:r>
    </w:p>
    <w:p w14:paraId="36B24D89" w14:textId="77777777" w:rsidR="00FA1C1A" w:rsidRPr="00FA1C1A" w:rsidRDefault="00FA1C1A" w:rsidP="00FA1C1A">
      <w:pPr>
        <w:spacing w:before="120" w:after="120"/>
        <w:jc w:val="both"/>
        <w:rPr>
          <w:rFonts w:eastAsia="Times New Roman" w:cs="Arial"/>
          <w:lang w:eastAsia="en-ZA"/>
        </w:rPr>
      </w:pPr>
      <w:r w:rsidRPr="00FA1C1A">
        <w:rPr>
          <w:rFonts w:eastAsia="Times New Roman" w:cs="Arial"/>
          <w:noProof/>
          <w:lang w:eastAsia="en-ZA"/>
        </w:rPr>
        <w:lastRenderedPageBreak/>
        <w:drawing>
          <wp:inline distT="0" distB="0" distL="0" distR="0" wp14:anchorId="4626490D" wp14:editId="32CA039C">
            <wp:extent cx="5554980" cy="4119188"/>
            <wp:effectExtent l="0" t="0" r="7620" b="0"/>
            <wp:docPr id="58" name="Picture 58" descr="table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table4"/>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5568648" cy="4129323"/>
                    </a:xfrm>
                    <a:prstGeom prst="rect">
                      <a:avLst/>
                    </a:prstGeom>
                    <a:noFill/>
                    <a:ln>
                      <a:noFill/>
                    </a:ln>
                  </pic:spPr>
                </pic:pic>
              </a:graphicData>
            </a:graphic>
          </wp:inline>
        </w:drawing>
      </w:r>
    </w:p>
    <w:p w14:paraId="71555B48" w14:textId="77777777" w:rsidR="00FA1C1A" w:rsidRPr="00FA1C1A" w:rsidRDefault="00FA1C1A" w:rsidP="00FA1C1A">
      <w:pPr>
        <w:spacing w:before="120" w:after="120"/>
        <w:jc w:val="both"/>
        <w:rPr>
          <w:rFonts w:eastAsia="Times New Roman" w:cs="Arial"/>
          <w:lang w:eastAsia="en-ZA"/>
        </w:rPr>
      </w:pPr>
      <w:r w:rsidRPr="00FA1C1A">
        <w:rPr>
          <w:rFonts w:eastAsia="Times New Roman" w:cs="Arial"/>
          <w:lang w:eastAsia="en-ZA"/>
        </w:rPr>
        <w:t>During the most recent 10-year period, real equity returns in rand terms again outperformed US and UK equity returns by a wide margin. The only other period during which SA bonds was the clear winner amongst the three countries, was during 1994-2004.</w:t>
      </w:r>
    </w:p>
    <w:p w14:paraId="729BC32D" w14:textId="77777777" w:rsidR="00FA1C1A" w:rsidRPr="00FA1C1A" w:rsidRDefault="00FA1C1A" w:rsidP="00FA1C1A">
      <w:pPr>
        <w:spacing w:before="120" w:after="120"/>
        <w:jc w:val="both"/>
        <w:rPr>
          <w:rFonts w:eastAsia="Times New Roman" w:cs="Arial"/>
          <w:lang w:eastAsia="en-ZA"/>
        </w:rPr>
      </w:pPr>
      <w:r w:rsidRPr="00FA1C1A">
        <w:rPr>
          <w:rFonts w:eastAsia="Times New Roman" w:cs="Arial"/>
          <w:lang w:eastAsia="en-ZA"/>
        </w:rPr>
        <w:t>The third and fourth tables essentially tell the same story, but all values are expressed in dollar terms.</w:t>
      </w:r>
    </w:p>
    <w:p w14:paraId="5C9B9673" w14:textId="77777777" w:rsidR="00FA1C1A" w:rsidRPr="00FA1C1A" w:rsidRDefault="00FA1C1A" w:rsidP="00FA1C1A">
      <w:pPr>
        <w:spacing w:before="120" w:after="120"/>
        <w:jc w:val="both"/>
        <w:rPr>
          <w:rFonts w:eastAsia="Times New Roman" w:cs="Arial"/>
          <w:lang w:eastAsia="en-ZA"/>
        </w:rPr>
      </w:pPr>
      <w:r w:rsidRPr="00FA1C1A">
        <w:rPr>
          <w:rFonts w:eastAsia="Times New Roman" w:cs="Arial"/>
          <w:lang w:eastAsia="en-ZA"/>
        </w:rPr>
        <w:t>With the exception of the first 10- year period, South African investment returns were generally lower if calculated in dollar terms rather than merely adjusting for domestic inflation.</w:t>
      </w:r>
    </w:p>
    <w:p w14:paraId="57E7926B" w14:textId="03E76D9C" w:rsidR="00FA1C1A" w:rsidRDefault="00FA1C1A" w:rsidP="00FA1C1A">
      <w:pPr>
        <w:spacing w:before="120" w:after="120"/>
        <w:jc w:val="both"/>
        <w:rPr>
          <w:rFonts w:eastAsia="Times New Roman" w:cs="Arial"/>
          <w:lang w:eastAsia="en-ZA"/>
        </w:rPr>
      </w:pPr>
      <w:r w:rsidRPr="00FA1C1A">
        <w:rPr>
          <w:rFonts w:eastAsia="Times New Roman" w:cs="Arial"/>
          <w:lang w:eastAsia="en-ZA"/>
        </w:rPr>
        <w:t>Although SA equities still outperformed during two of the five 10-year periods, SA bond returns during 1994-2004 were lower than in either the US or UK.</w:t>
      </w:r>
    </w:p>
    <w:p w14:paraId="6064B683" w14:textId="6A9894E5" w:rsidR="00FA1C1A" w:rsidRDefault="00FA1C1A" w:rsidP="00FA1C1A">
      <w:pPr>
        <w:spacing w:before="120" w:after="120"/>
        <w:jc w:val="both"/>
        <w:rPr>
          <w:rFonts w:eastAsia="Times New Roman" w:cs="Arial"/>
          <w:lang w:eastAsia="en-ZA"/>
        </w:rPr>
      </w:pPr>
      <w:hyperlink r:id="rId204" w:history="1">
        <w:r w:rsidRPr="005E7EB2">
          <w:rPr>
            <w:rStyle w:val="Hyperlink"/>
            <w:rFonts w:eastAsia="Times New Roman" w:cs="Arial"/>
            <w:lang w:eastAsia="en-ZA"/>
          </w:rPr>
          <w:t>https://financialmarketsjournal.co.za/long-term-real-investment-returns/</w:t>
        </w:r>
      </w:hyperlink>
    </w:p>
    <w:p w14:paraId="12EBD731" w14:textId="40CABEBF" w:rsidR="00FA1C1A" w:rsidRDefault="00FA1C1A">
      <w:pPr>
        <w:rPr>
          <w:rFonts w:eastAsia="Times New Roman" w:cs="Arial"/>
          <w:lang w:eastAsia="en-ZA"/>
        </w:rPr>
      </w:pPr>
      <w:r>
        <w:rPr>
          <w:rFonts w:eastAsia="Times New Roman" w:cs="Arial"/>
          <w:lang w:eastAsia="en-ZA"/>
        </w:rPr>
        <w:br w:type="page"/>
      </w:r>
    </w:p>
    <w:p w14:paraId="286DED49" w14:textId="77777777" w:rsidR="00FA1C1A" w:rsidRPr="00FA1C1A" w:rsidRDefault="00FA1C1A" w:rsidP="00FA1C1A">
      <w:pPr>
        <w:spacing w:before="120" w:after="120"/>
        <w:jc w:val="both"/>
        <w:outlineLvl w:val="0"/>
        <w:rPr>
          <w:rFonts w:eastAsia="Times New Roman" w:cs="Arial"/>
          <w:b/>
          <w:bCs/>
          <w:kern w:val="36"/>
          <w:sz w:val="28"/>
          <w:szCs w:val="28"/>
          <w:lang w:eastAsia="en-ZA"/>
        </w:rPr>
      </w:pPr>
      <w:r w:rsidRPr="00FA1C1A">
        <w:rPr>
          <w:rFonts w:eastAsia="Times New Roman" w:cs="Arial"/>
          <w:b/>
          <w:bCs/>
          <w:kern w:val="36"/>
          <w:sz w:val="28"/>
          <w:szCs w:val="28"/>
          <w:lang w:eastAsia="en-ZA"/>
        </w:rPr>
        <w:lastRenderedPageBreak/>
        <w:t xml:space="preserve">Rand falls the most in a week as Saudi attacks send investors to safe havens </w:t>
      </w:r>
    </w:p>
    <w:p w14:paraId="1C34D1E7" w14:textId="77777777" w:rsidR="00FA1C1A" w:rsidRPr="00FA1C1A" w:rsidRDefault="00FA1C1A" w:rsidP="00FA1C1A">
      <w:pPr>
        <w:spacing w:before="120" w:after="120"/>
        <w:jc w:val="both"/>
        <w:outlineLvl w:val="2"/>
        <w:rPr>
          <w:rFonts w:eastAsia="Times New Roman" w:cs="Arial"/>
          <w:b/>
          <w:bCs/>
          <w:lang w:eastAsia="en-ZA"/>
        </w:rPr>
      </w:pPr>
      <w:r w:rsidRPr="00FA1C1A">
        <w:rPr>
          <w:rFonts w:eastAsia="Times New Roman" w:cs="Arial"/>
          <w:b/>
          <w:bCs/>
          <w:lang w:eastAsia="en-ZA"/>
        </w:rPr>
        <w:t xml:space="preserve">The price of Brent crude jumped more than 9% on Monday morning after a drone attack on a Saudi Arabian facility </w:t>
      </w:r>
    </w:p>
    <w:p w14:paraId="3165503A" w14:textId="77777777" w:rsidR="00FA1C1A" w:rsidRPr="00FA1C1A" w:rsidRDefault="00FA1C1A" w:rsidP="00FA1C1A">
      <w:pPr>
        <w:spacing w:before="120" w:after="120"/>
        <w:jc w:val="both"/>
        <w:rPr>
          <w:rFonts w:eastAsia="Times New Roman" w:cs="Arial"/>
          <w:lang w:eastAsia="en-ZA"/>
        </w:rPr>
      </w:pPr>
      <w:r w:rsidRPr="00FA1C1A">
        <w:rPr>
          <w:rFonts w:eastAsia="Times New Roman" w:cs="Arial"/>
          <w:lang w:eastAsia="en-ZA"/>
        </w:rPr>
        <w:t xml:space="preserve">16 September 2019 - 10:28 Odwa Mjo </w:t>
      </w:r>
    </w:p>
    <w:p w14:paraId="16C39B96" w14:textId="77777777" w:rsidR="00FA1C1A" w:rsidRPr="00FA1C1A" w:rsidRDefault="00FA1C1A" w:rsidP="00FA1C1A">
      <w:pPr>
        <w:spacing w:before="120" w:after="120"/>
        <w:jc w:val="both"/>
        <w:rPr>
          <w:rFonts w:eastAsia="Times New Roman" w:cs="Arial"/>
          <w:lang w:eastAsia="en-ZA"/>
        </w:rPr>
      </w:pPr>
      <w:r w:rsidRPr="00FA1C1A">
        <w:rPr>
          <w:rFonts w:eastAsia="Times New Roman" w:cs="Arial"/>
          <w:lang w:eastAsia="en-ZA"/>
        </w:rPr>
        <w:t xml:space="preserve">UPDATED 16 September 2019 - 14:14 </w:t>
      </w:r>
    </w:p>
    <w:p w14:paraId="69348D26" w14:textId="77777777" w:rsidR="00FA1C1A" w:rsidRPr="00FA1C1A" w:rsidRDefault="00FA1C1A" w:rsidP="00FA1C1A">
      <w:pPr>
        <w:spacing w:before="120" w:after="120"/>
        <w:jc w:val="both"/>
        <w:rPr>
          <w:rFonts w:eastAsia="Times New Roman" w:cs="Arial"/>
          <w:lang w:eastAsia="en-ZA"/>
        </w:rPr>
      </w:pPr>
      <w:r w:rsidRPr="00FA1C1A">
        <w:rPr>
          <w:rFonts w:eastAsia="Times New Roman" w:cs="Arial"/>
          <w:noProof/>
          <w:color w:val="0000FF"/>
          <w:lang w:eastAsia="en-ZA"/>
        </w:rPr>
        <w:drawing>
          <wp:inline distT="0" distB="0" distL="0" distR="0" wp14:anchorId="7DD6DDD3" wp14:editId="30D081B8">
            <wp:extent cx="5699760" cy="3400390"/>
            <wp:effectExtent l="0" t="0" r="0" b="0"/>
            <wp:docPr id="59" name="Picture 59" descr="Picture: REUTERS">
              <a:hlinkClick xmlns:a="http://schemas.openxmlformats.org/drawingml/2006/main" r:id="rId20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icture: REUTERS">
                      <a:hlinkClick r:id="rId205"/>
                    </pic:cNvPr>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5728554" cy="3417568"/>
                    </a:xfrm>
                    <a:prstGeom prst="rect">
                      <a:avLst/>
                    </a:prstGeom>
                    <a:noFill/>
                    <a:ln>
                      <a:noFill/>
                    </a:ln>
                  </pic:spPr>
                </pic:pic>
              </a:graphicData>
            </a:graphic>
          </wp:inline>
        </w:drawing>
      </w:r>
    </w:p>
    <w:p w14:paraId="2017EBD5" w14:textId="77777777" w:rsidR="00FA1C1A" w:rsidRPr="00FA1C1A" w:rsidRDefault="00FA1C1A" w:rsidP="00FA1C1A">
      <w:pPr>
        <w:spacing w:before="120" w:after="120"/>
        <w:jc w:val="both"/>
        <w:rPr>
          <w:rFonts w:eastAsia="Times New Roman" w:cs="Arial"/>
          <w:lang w:eastAsia="en-ZA"/>
        </w:rPr>
      </w:pPr>
      <w:r w:rsidRPr="00FA1C1A">
        <w:rPr>
          <w:rFonts w:eastAsia="Times New Roman" w:cs="Arial"/>
          <w:lang w:eastAsia="en-ZA"/>
        </w:rPr>
        <w:t xml:space="preserve">Picture: REUTERS </w:t>
      </w:r>
    </w:p>
    <w:p w14:paraId="50BF1BFA" w14:textId="77777777" w:rsidR="00FA1C1A" w:rsidRPr="00FA1C1A" w:rsidRDefault="00FA1C1A" w:rsidP="00FA1C1A">
      <w:pPr>
        <w:spacing w:before="120" w:after="120"/>
        <w:jc w:val="both"/>
        <w:rPr>
          <w:rFonts w:eastAsia="Times New Roman" w:cs="Arial"/>
          <w:lang w:eastAsia="en-ZA"/>
        </w:rPr>
      </w:pPr>
      <w:r w:rsidRPr="00FA1C1A">
        <w:rPr>
          <w:rFonts w:eastAsia="Times New Roman" w:cs="Arial"/>
          <w:lang w:eastAsia="en-ZA"/>
        </w:rPr>
        <w:t>The rand fell the most in a week on Monday morning after attacks on oil facilities in Saudi Arabia drove oil prices up, with investors scurrying for safe havens such as gold and the dollar.</w:t>
      </w:r>
      <w:r w:rsidRPr="00FA1C1A">
        <w:rPr>
          <w:rFonts w:eastAsia="Times New Roman" w:cs="Arial"/>
          <w:lang w:eastAsia="en-ZA"/>
        </w:rPr>
        <w:br/>
      </w:r>
      <w:r w:rsidRPr="00FA1C1A">
        <w:rPr>
          <w:rFonts w:eastAsia="Times New Roman" w:cs="Arial"/>
          <w:lang w:eastAsia="en-ZA"/>
        </w:rPr>
        <w:br/>
        <w:t>The price of Brent crude jumped more than 9% on Monday morning after a drone attack on a Saudi Arabian facility at the weekend, wiping out more than half of the country’s oil supply, about 5% of global oil supply, Reuters reported.</w:t>
      </w:r>
    </w:p>
    <w:p w14:paraId="4EA1183E" w14:textId="77777777" w:rsidR="00FA1C1A" w:rsidRPr="00FA1C1A" w:rsidRDefault="00FA1C1A" w:rsidP="00FA1C1A">
      <w:pPr>
        <w:spacing w:before="120" w:after="120"/>
        <w:jc w:val="both"/>
        <w:rPr>
          <w:rFonts w:eastAsia="Times New Roman" w:cs="Arial"/>
          <w:lang w:eastAsia="en-ZA"/>
        </w:rPr>
      </w:pPr>
      <w:r w:rsidRPr="00FA1C1A">
        <w:rPr>
          <w:rFonts w:eastAsia="Times New Roman" w:cs="Arial"/>
          <w:lang w:eastAsia="en-ZA"/>
        </w:rPr>
        <w:t>“The drone attack ... is causing havoc for certain emerging- markets this morning” due to the effect of higher oil prices on inflation, Standard Bank currency dealer Warrick Butler said.</w:t>
      </w:r>
    </w:p>
    <w:p w14:paraId="152BD4DF" w14:textId="77777777" w:rsidR="00FA1C1A" w:rsidRPr="00FA1C1A" w:rsidRDefault="00FA1C1A" w:rsidP="00FA1C1A">
      <w:pPr>
        <w:spacing w:before="120" w:after="120"/>
        <w:jc w:val="both"/>
        <w:rPr>
          <w:rFonts w:eastAsia="Times New Roman" w:cs="Arial"/>
          <w:lang w:eastAsia="en-ZA"/>
        </w:rPr>
      </w:pPr>
      <w:r w:rsidRPr="00FA1C1A">
        <w:rPr>
          <w:rFonts w:eastAsia="Times New Roman" w:cs="Arial"/>
          <w:lang w:eastAsia="en-ZA"/>
        </w:rPr>
        <w:t>“For countries like SA and Turkey, who are net importers, the negative impact is greater.”</w:t>
      </w:r>
    </w:p>
    <w:p w14:paraId="7735D9C2" w14:textId="77777777" w:rsidR="00FA1C1A" w:rsidRDefault="00FA1C1A" w:rsidP="00FA1C1A">
      <w:pPr>
        <w:spacing w:before="120" w:after="120"/>
        <w:jc w:val="both"/>
        <w:rPr>
          <w:rFonts w:eastAsia="Times New Roman" w:cs="Arial"/>
          <w:lang w:eastAsia="en-ZA"/>
        </w:rPr>
      </w:pPr>
      <w:r w:rsidRPr="00FA1C1A">
        <w:rPr>
          <w:rFonts w:eastAsia="Times New Roman" w:cs="Arial"/>
          <w:lang w:eastAsia="en-ZA"/>
        </w:rPr>
        <w:t>At 9.55am, the rand had weakened 0.25% to R14.6622/$, 0.27% to R16.2394/€ while it was flat at R18.2696/£. The euro was little changed at $1.1075. </w:t>
      </w:r>
    </w:p>
    <w:p w14:paraId="4D923A64" w14:textId="1384D220" w:rsidR="00FA1C1A" w:rsidRDefault="00FA1C1A" w:rsidP="00FA1C1A">
      <w:pPr>
        <w:spacing w:before="120" w:after="120"/>
        <w:jc w:val="both"/>
        <w:rPr>
          <w:rFonts w:eastAsia="Times New Roman" w:cs="Arial"/>
          <w:lang w:eastAsia="en-ZA"/>
        </w:rPr>
      </w:pPr>
      <w:r w:rsidRPr="00FA1C1A">
        <w:rPr>
          <w:rFonts w:eastAsia="Times New Roman" w:cs="Arial"/>
          <w:lang w:eastAsia="en-ZA"/>
        </w:rPr>
        <w:t>Gold was up 1.8% to $1,504.60 while platinum was flat at $955.36. Brent crude climbed 9.03% to $65.55 a barrel.</w:t>
      </w:r>
    </w:p>
    <w:p w14:paraId="697DCB32" w14:textId="463F4FDD" w:rsidR="00FA1C1A" w:rsidRDefault="00FA1C1A" w:rsidP="00FA1C1A">
      <w:pPr>
        <w:spacing w:before="120" w:after="120"/>
        <w:jc w:val="both"/>
        <w:rPr>
          <w:rFonts w:eastAsia="Times New Roman" w:cs="Arial"/>
          <w:lang w:eastAsia="en-ZA"/>
        </w:rPr>
      </w:pPr>
      <w:hyperlink r:id="rId207" w:history="1">
        <w:r w:rsidRPr="005E7EB2">
          <w:rPr>
            <w:rStyle w:val="Hyperlink"/>
            <w:rFonts w:eastAsia="Times New Roman" w:cs="Arial"/>
            <w:lang w:eastAsia="en-ZA"/>
          </w:rPr>
          <w:t>https://www.businesslive.co.za/bd/markets/2019-09-16-rand-weaker-as-saudi-oil-attacks-spur-global-risk-off-trade/</w:t>
        </w:r>
      </w:hyperlink>
    </w:p>
    <w:p w14:paraId="16927395" w14:textId="2340C070" w:rsidR="00FA1C1A" w:rsidRDefault="00FA1C1A">
      <w:pPr>
        <w:rPr>
          <w:rFonts w:eastAsia="Times New Roman" w:cs="Arial"/>
          <w:lang w:eastAsia="en-ZA"/>
        </w:rPr>
      </w:pPr>
      <w:r>
        <w:rPr>
          <w:rFonts w:eastAsia="Times New Roman" w:cs="Arial"/>
          <w:lang w:eastAsia="en-ZA"/>
        </w:rPr>
        <w:br w:type="page"/>
      </w:r>
    </w:p>
    <w:p w14:paraId="69FD7206" w14:textId="77777777" w:rsidR="00FA1C1A" w:rsidRPr="00FA1C1A" w:rsidRDefault="00FA1C1A" w:rsidP="00FA1C1A">
      <w:pPr>
        <w:spacing w:before="120" w:after="120"/>
        <w:jc w:val="both"/>
        <w:outlineLvl w:val="0"/>
        <w:rPr>
          <w:rFonts w:eastAsia="Times New Roman" w:cs="Arial"/>
          <w:b/>
          <w:bCs/>
          <w:kern w:val="36"/>
          <w:sz w:val="28"/>
          <w:szCs w:val="28"/>
          <w:lang w:eastAsia="en-ZA"/>
        </w:rPr>
      </w:pPr>
      <w:r w:rsidRPr="00FA1C1A">
        <w:rPr>
          <w:rFonts w:eastAsia="Times New Roman" w:cs="Arial"/>
          <w:b/>
          <w:bCs/>
          <w:kern w:val="36"/>
          <w:sz w:val="28"/>
          <w:szCs w:val="28"/>
          <w:lang w:eastAsia="en-ZA"/>
        </w:rPr>
        <w:lastRenderedPageBreak/>
        <w:t>Donald Trump and Swine Fever Are Creating an Economic Crisis</w:t>
      </w:r>
    </w:p>
    <w:p w14:paraId="3B0C3E66" w14:textId="77777777" w:rsidR="00FA1C1A" w:rsidRPr="00FA1C1A" w:rsidRDefault="00FA1C1A" w:rsidP="00FA1C1A">
      <w:pPr>
        <w:spacing w:before="120" w:after="120"/>
        <w:jc w:val="both"/>
        <w:outlineLvl w:val="1"/>
        <w:rPr>
          <w:rFonts w:eastAsia="Times New Roman" w:cs="Arial"/>
          <w:b/>
          <w:bCs/>
          <w:lang w:eastAsia="en-ZA"/>
        </w:rPr>
      </w:pPr>
      <w:r w:rsidRPr="00FA1C1A">
        <w:rPr>
          <w:rFonts w:eastAsia="Times New Roman" w:cs="Arial"/>
          <w:b/>
          <w:bCs/>
          <w:lang w:eastAsia="en-ZA"/>
        </w:rPr>
        <w:t>A deadly outbreak in China and trade tariffs in the United States are threatening to send global markets into a tailspin.</w:t>
      </w:r>
    </w:p>
    <w:p w14:paraId="5FC2B04F" w14:textId="77777777" w:rsidR="00FA1C1A" w:rsidRPr="00FA1C1A" w:rsidRDefault="00FA1C1A" w:rsidP="00FA1C1A">
      <w:pPr>
        <w:spacing w:before="120" w:after="120"/>
        <w:jc w:val="both"/>
        <w:rPr>
          <w:rFonts w:eastAsia="Times New Roman" w:cs="Arial"/>
          <w:lang w:eastAsia="en-ZA"/>
        </w:rPr>
      </w:pPr>
      <w:r w:rsidRPr="00FA1C1A">
        <w:rPr>
          <w:rFonts w:eastAsia="Times New Roman" w:cs="Arial"/>
          <w:lang w:eastAsia="en-ZA"/>
        </w:rPr>
        <w:t xml:space="preserve">By </w:t>
      </w:r>
      <w:hyperlink r:id="rId208" w:history="1">
        <w:r w:rsidRPr="00FA1C1A">
          <w:rPr>
            <w:rFonts w:eastAsia="Times New Roman" w:cs="Arial"/>
            <w:b/>
            <w:bCs/>
            <w:color w:val="0000FF"/>
            <w:u w:val="single"/>
            <w:lang w:eastAsia="en-ZA"/>
          </w:rPr>
          <w:t>Laurie Garrett</w:t>
        </w:r>
      </w:hyperlink>
      <w:r w:rsidRPr="00FA1C1A">
        <w:rPr>
          <w:rFonts w:eastAsia="Times New Roman" w:cs="Arial"/>
          <w:lang w:eastAsia="en-ZA"/>
        </w:rPr>
        <w:t xml:space="preserve">, a columnist at </w:t>
      </w:r>
      <w:r w:rsidRPr="00FA1C1A">
        <w:rPr>
          <w:rFonts w:eastAsia="Times New Roman" w:cs="Arial"/>
          <w:i/>
          <w:iCs/>
          <w:lang w:eastAsia="en-ZA"/>
        </w:rPr>
        <w:t>Foreign Policy</w:t>
      </w:r>
      <w:r w:rsidRPr="00FA1C1A">
        <w:rPr>
          <w:rFonts w:eastAsia="Times New Roman" w:cs="Arial"/>
          <w:lang w:eastAsia="en-ZA"/>
        </w:rPr>
        <w:t xml:space="preserve"> and former senior fellow for global health at the Council on Foreign Relations. </w:t>
      </w:r>
    </w:p>
    <w:p w14:paraId="4AF2BE0F" w14:textId="77777777" w:rsidR="00FA1C1A" w:rsidRPr="00FA1C1A" w:rsidRDefault="00FA1C1A" w:rsidP="00FA1C1A">
      <w:pPr>
        <w:spacing w:before="120" w:after="120"/>
        <w:jc w:val="both"/>
        <w:rPr>
          <w:rFonts w:eastAsia="Times New Roman" w:cs="Arial"/>
          <w:lang w:eastAsia="en-ZA"/>
        </w:rPr>
      </w:pPr>
      <w:r w:rsidRPr="00FA1C1A">
        <w:rPr>
          <w:rFonts w:eastAsia="Times New Roman" w:cs="Arial"/>
          <w:lang w:eastAsia="en-ZA"/>
        </w:rPr>
        <w:t xml:space="preserve">NEW EMAIL ALERTS FP subscribers can now receive alerts when new stories written by this author are published. </w:t>
      </w:r>
      <w:hyperlink r:id="rId209" w:history="1">
        <w:r w:rsidRPr="00FA1C1A">
          <w:rPr>
            <w:rFonts w:eastAsia="Times New Roman" w:cs="Arial"/>
            <w:color w:val="0000FF"/>
            <w:u w:val="single"/>
            <w:lang w:eastAsia="en-ZA"/>
          </w:rPr>
          <w:t>Subscribe now</w:t>
        </w:r>
      </w:hyperlink>
      <w:r w:rsidRPr="00FA1C1A">
        <w:rPr>
          <w:rFonts w:eastAsia="Times New Roman" w:cs="Arial"/>
          <w:lang w:eastAsia="en-ZA"/>
        </w:rPr>
        <w:t xml:space="preserve"> | </w:t>
      </w:r>
      <w:hyperlink r:id="rId210" w:history="1">
        <w:r w:rsidRPr="00FA1C1A">
          <w:rPr>
            <w:rFonts w:eastAsia="Times New Roman" w:cs="Arial"/>
            <w:color w:val="0000FF"/>
            <w:u w:val="single"/>
            <w:lang w:eastAsia="en-ZA"/>
          </w:rPr>
          <w:t>Sign in</w:t>
        </w:r>
      </w:hyperlink>
      <w:r w:rsidRPr="00FA1C1A">
        <w:rPr>
          <w:rFonts w:eastAsia="Times New Roman" w:cs="Arial"/>
          <w:lang w:eastAsia="en-ZA"/>
        </w:rPr>
        <w:t xml:space="preserve"> </w:t>
      </w:r>
    </w:p>
    <w:p w14:paraId="002F7427" w14:textId="2E3D09B9" w:rsidR="00FA1C1A" w:rsidRDefault="00FA1C1A" w:rsidP="00FA1C1A">
      <w:pPr>
        <w:spacing w:before="120" w:after="120"/>
        <w:jc w:val="both"/>
        <w:rPr>
          <w:rFonts w:eastAsia="Times New Roman" w:cs="Arial"/>
          <w:lang w:eastAsia="en-ZA"/>
        </w:rPr>
      </w:pPr>
      <w:r w:rsidRPr="00FA1C1A">
        <w:rPr>
          <w:rFonts w:eastAsia="Times New Roman" w:cs="Arial"/>
          <w:lang w:eastAsia="en-ZA"/>
        </w:rPr>
        <w:t xml:space="preserve">A poster from a protest against President Donald Trump in New York City on Nov. 9, 2016. KENA BETANCUR/AFP/Getty Images </w:t>
      </w:r>
    </w:p>
    <w:p w14:paraId="76AAC0AA" w14:textId="6F98D7CB" w:rsidR="00FA1C1A" w:rsidRPr="00FA1C1A" w:rsidRDefault="00FA1C1A" w:rsidP="00FA1C1A">
      <w:pPr>
        <w:spacing w:before="120" w:after="120"/>
        <w:jc w:val="both"/>
        <w:rPr>
          <w:rFonts w:eastAsia="Times New Roman" w:cs="Arial"/>
          <w:lang w:eastAsia="en-ZA"/>
        </w:rPr>
      </w:pPr>
      <w:r>
        <w:rPr>
          <w:noProof/>
        </w:rPr>
        <w:drawing>
          <wp:inline distT="0" distB="0" distL="0" distR="0" wp14:anchorId="559B7138" wp14:editId="38919748">
            <wp:extent cx="5731510" cy="4522470"/>
            <wp:effectExtent l="0" t="0" r="254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1"/>
                    <a:stretch>
                      <a:fillRect/>
                    </a:stretch>
                  </pic:blipFill>
                  <pic:spPr>
                    <a:xfrm>
                      <a:off x="0" y="0"/>
                      <a:ext cx="5731510" cy="4522470"/>
                    </a:xfrm>
                    <a:prstGeom prst="rect">
                      <a:avLst/>
                    </a:prstGeom>
                  </pic:spPr>
                </pic:pic>
              </a:graphicData>
            </a:graphic>
          </wp:inline>
        </w:drawing>
      </w:r>
    </w:p>
    <w:p w14:paraId="37879E30" w14:textId="77777777" w:rsidR="00FA1C1A" w:rsidRPr="00FA1C1A" w:rsidRDefault="00FA1C1A" w:rsidP="00FA1C1A">
      <w:pPr>
        <w:spacing w:before="120" w:after="120"/>
        <w:jc w:val="both"/>
        <w:rPr>
          <w:rFonts w:eastAsia="Times New Roman" w:cs="Arial"/>
          <w:lang w:eastAsia="en-ZA"/>
        </w:rPr>
      </w:pPr>
      <w:r w:rsidRPr="00FA1C1A">
        <w:rPr>
          <w:rFonts w:eastAsia="Times New Roman" w:cs="Arial"/>
          <w:lang w:eastAsia="en-ZA"/>
        </w:rPr>
        <w:t xml:space="preserve">May 10, 2019, 12:44 AM </w:t>
      </w:r>
    </w:p>
    <w:p w14:paraId="68CC5CBF" w14:textId="77777777" w:rsidR="00FA1C1A" w:rsidRPr="00FA1C1A" w:rsidRDefault="00FA1C1A" w:rsidP="00FA1C1A">
      <w:pPr>
        <w:spacing w:before="120" w:after="120"/>
        <w:jc w:val="both"/>
        <w:rPr>
          <w:rFonts w:eastAsia="Times New Roman" w:cs="Arial"/>
          <w:lang w:eastAsia="en-ZA"/>
        </w:rPr>
      </w:pPr>
      <w:r w:rsidRPr="00FA1C1A">
        <w:rPr>
          <w:rFonts w:eastAsia="Times New Roman" w:cs="Arial"/>
          <w:lang w:eastAsia="en-ZA"/>
        </w:rPr>
        <w:t>As trade tensions between the Trump administration and Chinese President Xi Jinping’s negotiating team escalate, with U.S. President Donald Trump threatening to impose drastic new tariffs starting on Friday, the negative fallout for farmers—from soybean growers in Iowa to hog farmers in Shandong—is potentially very high. But it’s all made worse by an obscure African virus that is threatening to transform the trade woes into a snowballing catastrophe affecting everything from the food on your family’s plates next week, to the stability of global financial markets and agricultural industries, to the health of dialysis patients around the world.</w:t>
      </w:r>
    </w:p>
    <w:p w14:paraId="030EF44A" w14:textId="77777777" w:rsidR="00FA1C1A" w:rsidRPr="00FA1C1A" w:rsidRDefault="00FA1C1A" w:rsidP="00FA1C1A">
      <w:pPr>
        <w:spacing w:before="120" w:after="120"/>
        <w:jc w:val="both"/>
        <w:rPr>
          <w:rFonts w:eastAsia="Times New Roman" w:cs="Arial"/>
          <w:lang w:eastAsia="en-ZA"/>
        </w:rPr>
      </w:pPr>
      <w:r w:rsidRPr="00FA1C1A">
        <w:rPr>
          <w:rFonts w:eastAsia="Times New Roman" w:cs="Arial"/>
          <w:lang w:eastAsia="en-ZA"/>
        </w:rPr>
        <w:t xml:space="preserve">Last summer a </w:t>
      </w:r>
      <w:hyperlink r:id="rId212" w:history="1">
        <w:r w:rsidRPr="00FA1C1A">
          <w:rPr>
            <w:rFonts w:eastAsia="Times New Roman" w:cs="Arial"/>
            <w:color w:val="0000FF"/>
            <w:u w:val="single"/>
            <w:lang w:eastAsia="en-ZA"/>
          </w:rPr>
          <w:t>hog farmer</w:t>
        </w:r>
      </w:hyperlink>
      <w:r w:rsidRPr="00FA1C1A">
        <w:rPr>
          <w:rFonts w:eastAsia="Times New Roman" w:cs="Arial"/>
          <w:lang w:eastAsia="en-ZA"/>
        </w:rPr>
        <w:t xml:space="preserve"> with a small, 400-pig operation in Shenyang, northeastern China, reported a disease was sweeping through his herd, with lethal outcome. By the time government investigators reached the scene, the disease had already spread to neighboring farms, swiftly killing over 10 percent of the swine. On Aug. 3, 2018, Zhang Zhongqui, the director general of the China Animal Disease Control Center, </w:t>
      </w:r>
      <w:hyperlink r:id="rId213" w:history="1">
        <w:r w:rsidRPr="00FA1C1A">
          <w:rPr>
            <w:rFonts w:eastAsia="Times New Roman" w:cs="Arial"/>
            <w:color w:val="0000FF"/>
            <w:u w:val="single"/>
            <w:lang w:eastAsia="en-ZA"/>
          </w:rPr>
          <w:t>announced</w:t>
        </w:r>
      </w:hyperlink>
      <w:r w:rsidRPr="00FA1C1A">
        <w:rPr>
          <w:rFonts w:eastAsia="Times New Roman" w:cs="Arial"/>
          <w:lang w:eastAsia="en-ZA"/>
        </w:rPr>
        <w:t xml:space="preserve"> that </w:t>
      </w:r>
      <w:hyperlink r:id="rId214" w:history="1">
        <w:r w:rsidRPr="00FA1C1A">
          <w:rPr>
            <w:rFonts w:eastAsia="Times New Roman" w:cs="Arial"/>
            <w:color w:val="0000FF"/>
            <w:u w:val="single"/>
            <w:lang w:eastAsia="en-ZA"/>
          </w:rPr>
          <w:t>African swine fever</w:t>
        </w:r>
      </w:hyperlink>
      <w:r w:rsidRPr="00FA1C1A">
        <w:rPr>
          <w:rFonts w:eastAsia="Times New Roman" w:cs="Arial"/>
          <w:lang w:eastAsia="en-ZA"/>
        </w:rPr>
        <w:t xml:space="preserve"> had, for the first time in history, broken out in China, where more than half of the world’s pork is consumed—</w:t>
      </w:r>
      <w:hyperlink r:id="rId215" w:anchor="77d5f69067f4" w:history="1">
        <w:r w:rsidRPr="00FA1C1A">
          <w:rPr>
            <w:rFonts w:eastAsia="Times New Roman" w:cs="Arial"/>
            <w:color w:val="0000FF"/>
            <w:u w:val="single"/>
            <w:lang w:eastAsia="en-ZA"/>
          </w:rPr>
          <w:t>56 billion pounds</w:t>
        </w:r>
      </w:hyperlink>
      <w:r w:rsidRPr="00FA1C1A">
        <w:rPr>
          <w:rFonts w:eastAsia="Times New Roman" w:cs="Arial"/>
          <w:lang w:eastAsia="en-ZA"/>
        </w:rPr>
        <w:t xml:space="preserve"> of it annually—and much of it is produced.</w:t>
      </w:r>
    </w:p>
    <w:p w14:paraId="6FBE79BF" w14:textId="77777777" w:rsidR="00FA1C1A" w:rsidRPr="00FA1C1A" w:rsidRDefault="00FA1C1A" w:rsidP="00FA1C1A">
      <w:pPr>
        <w:spacing w:before="120" w:after="120"/>
        <w:jc w:val="both"/>
        <w:rPr>
          <w:rFonts w:eastAsia="Times New Roman" w:cs="Arial"/>
          <w:lang w:eastAsia="en-ZA"/>
        </w:rPr>
      </w:pPr>
      <w:r w:rsidRPr="00FA1C1A">
        <w:rPr>
          <w:rFonts w:eastAsia="Times New Roman" w:cs="Arial"/>
          <w:lang w:eastAsia="en-ZA"/>
        </w:rPr>
        <w:lastRenderedPageBreak/>
        <w:t xml:space="preserve">The extremely contagious virus </w:t>
      </w:r>
      <w:hyperlink r:id="rId216" w:history="1">
        <w:r w:rsidRPr="00FA1C1A">
          <w:rPr>
            <w:rFonts w:eastAsia="Times New Roman" w:cs="Arial"/>
            <w:color w:val="0000FF"/>
            <w:u w:val="single"/>
            <w:lang w:eastAsia="en-ZA"/>
          </w:rPr>
          <w:t>causes</w:t>
        </w:r>
      </w:hyperlink>
      <w:r w:rsidRPr="00FA1C1A">
        <w:rPr>
          <w:rFonts w:eastAsia="Times New Roman" w:cs="Arial"/>
          <w:lang w:eastAsia="en-ZA"/>
        </w:rPr>
        <w:t xml:space="preserve"> animals’ vascular systems to collapse, bleeding out into organs and tissues throughout their bodies and killing them within four days. The disease is also notoriously hard to control, as there’s no rapid diagnostic tool farmers can use to tell if animals are infected, no treatment, and no vaccine—and anything including contaminated farmers’ shoes, feed buckets, and virus-laden transport vehicles can pass the virus on to pigs. The disease is not harmful to humans, but people can carry the virus on their clothing, hands, and equipment, unwittingly spreading it from pig to pig. And nobody has yet found an infected pig or boar that has survived African swine fever: It is nearly 100 percent </w:t>
      </w:r>
      <w:hyperlink r:id="rId217" w:history="1">
        <w:r w:rsidRPr="00FA1C1A">
          <w:rPr>
            <w:rFonts w:eastAsia="Times New Roman" w:cs="Arial"/>
            <w:color w:val="0000FF"/>
            <w:u w:val="single"/>
            <w:lang w:eastAsia="en-ZA"/>
          </w:rPr>
          <w:t>lethal</w:t>
        </w:r>
      </w:hyperlink>
      <w:r w:rsidRPr="00FA1C1A">
        <w:rPr>
          <w:rFonts w:eastAsia="Times New Roman" w:cs="Arial"/>
          <w:lang w:eastAsia="en-ZA"/>
        </w:rPr>
        <w:t>.</w:t>
      </w:r>
    </w:p>
    <w:p w14:paraId="79517D6F" w14:textId="77777777" w:rsidR="00FA1C1A" w:rsidRPr="00FA1C1A" w:rsidRDefault="00FA1C1A" w:rsidP="00FA1C1A">
      <w:pPr>
        <w:spacing w:before="120" w:after="120"/>
        <w:jc w:val="both"/>
        <w:rPr>
          <w:rFonts w:eastAsia="Times New Roman" w:cs="Arial"/>
          <w:lang w:eastAsia="en-ZA"/>
        </w:rPr>
      </w:pPr>
      <w:r w:rsidRPr="00FA1C1A">
        <w:rPr>
          <w:rFonts w:eastAsia="Times New Roman" w:cs="Arial"/>
          <w:lang w:eastAsia="en-ZA"/>
        </w:rPr>
        <w:t xml:space="preserve">In 2017, experts </w:t>
      </w:r>
      <w:hyperlink r:id="rId218" w:history="1">
        <w:r w:rsidRPr="00FA1C1A">
          <w:rPr>
            <w:rFonts w:eastAsia="Times New Roman" w:cs="Arial"/>
            <w:color w:val="0000FF"/>
            <w:u w:val="single"/>
            <w:lang w:eastAsia="en-ZA"/>
          </w:rPr>
          <w:t>warned</w:t>
        </w:r>
      </w:hyperlink>
      <w:r w:rsidRPr="00FA1C1A">
        <w:rPr>
          <w:rFonts w:eastAsia="Times New Roman" w:cs="Arial"/>
          <w:lang w:eastAsia="en-ZA"/>
        </w:rPr>
        <w:t xml:space="preserve"> that China was ill prepared to handle African swine fever if it reached the country, particularly now that the nation’s hog farming is rapidly shifting from a mostly family-based village model to massive-scale, U.S.-style </w:t>
      </w:r>
      <w:hyperlink r:id="rId219" w:history="1">
        <w:r w:rsidRPr="00FA1C1A">
          <w:rPr>
            <w:rFonts w:eastAsia="Times New Roman" w:cs="Arial"/>
            <w:color w:val="0000FF"/>
            <w:u w:val="single"/>
            <w:lang w:eastAsia="en-ZA"/>
          </w:rPr>
          <w:t>industrial</w:t>
        </w:r>
      </w:hyperlink>
      <w:r w:rsidRPr="00FA1C1A">
        <w:rPr>
          <w:rFonts w:eastAsia="Times New Roman" w:cs="Arial"/>
          <w:lang w:eastAsia="en-ZA"/>
        </w:rPr>
        <w:t xml:space="preserve"> swine farming. Family farmers could be quarantined, their homes and animals typically confiscated by the Chinese state. But the industrial operations house thousands of hogs in tight confinement, fed and tended to by a small staff that moves from pig to pig, potentially acting as a vector for viral spread in a matter of a few hours to tens of thousands of animals.</w:t>
      </w:r>
    </w:p>
    <w:p w14:paraId="46461591" w14:textId="77777777" w:rsidR="00FA1C1A" w:rsidRPr="00FA1C1A" w:rsidRDefault="00FA1C1A" w:rsidP="00FA1C1A">
      <w:pPr>
        <w:spacing w:before="120" w:after="120"/>
        <w:jc w:val="both"/>
        <w:rPr>
          <w:rFonts w:eastAsia="Times New Roman" w:cs="Arial"/>
          <w:lang w:eastAsia="en-ZA"/>
        </w:rPr>
      </w:pPr>
      <w:r w:rsidRPr="00FA1C1A">
        <w:rPr>
          <w:rFonts w:eastAsia="Times New Roman" w:cs="Arial"/>
          <w:b/>
          <w:bCs/>
          <w:lang w:eastAsia="en-ZA"/>
        </w:rPr>
        <w:t xml:space="preserve">You can support </w:t>
      </w:r>
      <w:r w:rsidRPr="00FA1C1A">
        <w:rPr>
          <w:rFonts w:eastAsia="Times New Roman" w:cs="Arial"/>
          <w:b/>
          <w:bCs/>
          <w:i/>
          <w:iCs/>
          <w:lang w:eastAsia="en-ZA"/>
        </w:rPr>
        <w:t>Foreign Policy</w:t>
      </w:r>
      <w:r w:rsidRPr="00FA1C1A">
        <w:rPr>
          <w:rFonts w:eastAsia="Times New Roman" w:cs="Arial"/>
          <w:b/>
          <w:bCs/>
          <w:lang w:eastAsia="en-ZA"/>
        </w:rPr>
        <w:t xml:space="preserve"> by becoming a subscriber.</w:t>
      </w:r>
    </w:p>
    <w:p w14:paraId="09B63A77" w14:textId="77777777" w:rsidR="00FA1C1A" w:rsidRPr="00FA1C1A" w:rsidRDefault="00FA1C1A" w:rsidP="00FA1C1A">
      <w:pPr>
        <w:spacing w:before="120" w:after="120"/>
        <w:jc w:val="both"/>
        <w:rPr>
          <w:rFonts w:eastAsia="Times New Roman" w:cs="Arial"/>
          <w:lang w:eastAsia="en-ZA"/>
        </w:rPr>
      </w:pPr>
      <w:hyperlink r:id="rId220" w:tgtFrame="_blank" w:history="1">
        <w:r w:rsidRPr="00FA1C1A">
          <w:rPr>
            <w:rFonts w:eastAsia="Times New Roman" w:cs="Arial"/>
            <w:color w:val="0000FF"/>
            <w:u w:val="single"/>
            <w:lang w:eastAsia="en-ZA"/>
          </w:rPr>
          <w:t>Subscribe Today</w:t>
        </w:r>
      </w:hyperlink>
    </w:p>
    <w:p w14:paraId="2EED9217" w14:textId="77777777" w:rsidR="00FA1C1A" w:rsidRPr="00FA1C1A" w:rsidRDefault="00FA1C1A" w:rsidP="00FA1C1A">
      <w:pPr>
        <w:spacing w:before="120" w:after="120"/>
        <w:jc w:val="both"/>
        <w:rPr>
          <w:rFonts w:eastAsia="Times New Roman" w:cs="Arial"/>
          <w:lang w:eastAsia="en-ZA"/>
        </w:rPr>
      </w:pPr>
      <w:r w:rsidRPr="00FA1C1A">
        <w:rPr>
          <w:rFonts w:eastAsia="Times New Roman" w:cs="Arial"/>
          <w:lang w:eastAsia="en-ZA"/>
        </w:rPr>
        <w:t xml:space="preserve">China has proven the experts right—it has not been ready for an outbreak. Within a month of Zhang’s announcement of the first Shenyang outbreak, African swine fever </w:t>
      </w:r>
      <w:hyperlink r:id="rId221" w:history="1">
        <w:r w:rsidRPr="00FA1C1A">
          <w:rPr>
            <w:rFonts w:eastAsia="Times New Roman" w:cs="Arial"/>
            <w:color w:val="0000FF"/>
            <w:u w:val="single"/>
            <w:lang w:eastAsia="en-ZA"/>
          </w:rPr>
          <w:t>spread</w:t>
        </w:r>
      </w:hyperlink>
      <w:r w:rsidRPr="00FA1C1A">
        <w:rPr>
          <w:rFonts w:eastAsia="Times New Roman" w:cs="Arial"/>
          <w:lang w:eastAsia="en-ZA"/>
        </w:rPr>
        <w:t xml:space="preserve"> to three other nearby districts. And it kept spreading, engulfing every pork-rearing area of the nation by early 2019. Some hog producers agreed to slaughter their entire herds, hoping to stop the epidemic. But when they brought in uninfected sows and piglets to restock their herds, the new animals quickly sickened, thanks to contaminated facilities. The virus is so contagious that one outbreak was traced to a courier </w:t>
      </w:r>
      <w:hyperlink r:id="rId222" w:history="1">
        <w:r w:rsidRPr="00FA1C1A">
          <w:rPr>
            <w:rFonts w:eastAsia="Times New Roman" w:cs="Arial"/>
            <w:color w:val="0000FF"/>
            <w:u w:val="single"/>
            <w:lang w:eastAsia="en-ZA"/>
          </w:rPr>
          <w:t>mailing pouch</w:t>
        </w:r>
      </w:hyperlink>
      <w:r w:rsidRPr="00FA1C1A">
        <w:rPr>
          <w:rFonts w:eastAsia="Times New Roman" w:cs="Arial"/>
          <w:lang w:eastAsia="en-ZA"/>
        </w:rPr>
        <w:t xml:space="preserve"> delivered to a farm—the pouch, not its contents, spread the disease.</w:t>
      </w:r>
    </w:p>
    <w:p w14:paraId="6B0A524C" w14:textId="77777777" w:rsidR="00FA1C1A" w:rsidRPr="00FA1C1A" w:rsidRDefault="00FA1C1A" w:rsidP="00FA1C1A">
      <w:pPr>
        <w:spacing w:before="120" w:after="120"/>
        <w:jc w:val="both"/>
        <w:rPr>
          <w:rFonts w:eastAsia="Times New Roman" w:cs="Arial"/>
          <w:lang w:eastAsia="en-ZA"/>
        </w:rPr>
      </w:pPr>
      <w:r w:rsidRPr="00FA1C1A">
        <w:rPr>
          <w:rFonts w:eastAsia="Times New Roman" w:cs="Arial"/>
          <w:lang w:eastAsia="en-ZA"/>
        </w:rPr>
        <w:t xml:space="preserve">In October, Chinese authorities realized that their quarantine measures were failing because family-scale farmers were </w:t>
      </w:r>
      <w:hyperlink r:id="rId223" w:history="1">
        <w:r w:rsidRPr="00FA1C1A">
          <w:rPr>
            <w:rFonts w:eastAsia="Times New Roman" w:cs="Arial"/>
            <w:color w:val="0000FF"/>
            <w:u w:val="single"/>
            <w:lang w:eastAsia="en-ZA"/>
          </w:rPr>
          <w:t>feeding</w:t>
        </w:r>
      </w:hyperlink>
      <w:r w:rsidRPr="00FA1C1A">
        <w:rPr>
          <w:rFonts w:eastAsia="Times New Roman" w:cs="Arial"/>
          <w:lang w:eastAsia="en-ZA"/>
        </w:rPr>
        <w:t xml:space="preserve"> kitchen waste to their pigs—a traditional practice that essentially renders the animals cannibals, eating remnants of other pigs. This is reminiscent of the 1988 mad cow epidemic in the United Kingdom, which was caused by feeding sheep and cow bone meal to cows, spreading bovine spongiform encephalopathy to entire herds of animals across the nation. Today it is </w:t>
      </w:r>
      <w:hyperlink r:id="rId224" w:history="1">
        <w:r w:rsidRPr="00FA1C1A">
          <w:rPr>
            <w:rFonts w:eastAsia="Times New Roman" w:cs="Arial"/>
            <w:color w:val="0000FF"/>
            <w:u w:val="single"/>
            <w:lang w:eastAsia="en-ZA"/>
          </w:rPr>
          <w:t>illegal</w:t>
        </w:r>
      </w:hyperlink>
      <w:r w:rsidRPr="00FA1C1A">
        <w:rPr>
          <w:rFonts w:eastAsia="Times New Roman" w:cs="Arial"/>
          <w:lang w:eastAsia="en-ZA"/>
        </w:rPr>
        <w:t xml:space="preserve"> in the </w:t>
      </w:r>
      <w:hyperlink r:id="rId225" w:history="1">
        <w:r w:rsidRPr="00FA1C1A">
          <w:rPr>
            <w:rFonts w:eastAsia="Times New Roman" w:cs="Arial"/>
            <w:color w:val="0000FF"/>
            <w:u w:val="single"/>
            <w:lang w:eastAsia="en-ZA"/>
          </w:rPr>
          <w:t>U.K. and EU</w:t>
        </w:r>
      </w:hyperlink>
      <w:r w:rsidRPr="00FA1C1A">
        <w:rPr>
          <w:rFonts w:eastAsia="Times New Roman" w:cs="Arial"/>
          <w:lang w:eastAsia="en-ZA"/>
        </w:rPr>
        <w:t xml:space="preserve"> to feed livestock meal made from body parts of their own species or other mammalian species. But with Chinese swine, the practice continues, which hastens the spread of African swine fever even when all other possible control measures are imposed. Worse, some factory-scale feed manufacturers in China have produced and sold contaminated protein powders made from hog cadavers.</w:t>
      </w:r>
    </w:p>
    <w:p w14:paraId="06041491" w14:textId="77777777" w:rsidR="00FA1C1A" w:rsidRPr="00FA1C1A" w:rsidRDefault="00FA1C1A" w:rsidP="00FA1C1A">
      <w:pPr>
        <w:spacing w:before="120" w:after="120"/>
        <w:jc w:val="both"/>
        <w:rPr>
          <w:rFonts w:eastAsia="Times New Roman" w:cs="Arial"/>
          <w:lang w:eastAsia="en-ZA"/>
        </w:rPr>
      </w:pPr>
      <w:r w:rsidRPr="00FA1C1A">
        <w:rPr>
          <w:rFonts w:eastAsia="Times New Roman" w:cs="Arial"/>
          <w:lang w:eastAsia="en-ZA"/>
        </w:rPr>
        <w:t xml:space="preserve">China </w:t>
      </w:r>
      <w:hyperlink r:id="rId226" w:history="1">
        <w:r w:rsidRPr="00FA1C1A">
          <w:rPr>
            <w:rFonts w:eastAsia="Times New Roman" w:cs="Arial"/>
            <w:color w:val="0000FF"/>
            <w:u w:val="single"/>
            <w:lang w:eastAsia="en-ZA"/>
          </w:rPr>
          <w:t>culled</w:t>
        </w:r>
      </w:hyperlink>
      <w:r w:rsidRPr="00FA1C1A">
        <w:rPr>
          <w:rFonts w:eastAsia="Times New Roman" w:cs="Arial"/>
          <w:lang w:eastAsia="en-ZA"/>
        </w:rPr>
        <w:t xml:space="preserve"> nearly a million pigs by the end of January, frantically trying to slow the epidemic. But by early May, China had </w:t>
      </w:r>
      <w:hyperlink r:id="rId227" w:history="1">
        <w:r w:rsidRPr="00FA1C1A">
          <w:rPr>
            <w:rFonts w:eastAsia="Times New Roman" w:cs="Arial"/>
            <w:color w:val="0000FF"/>
            <w:u w:val="single"/>
            <w:lang w:eastAsia="en-ZA"/>
          </w:rPr>
          <w:t>logged</w:t>
        </w:r>
      </w:hyperlink>
      <w:r w:rsidRPr="00FA1C1A">
        <w:rPr>
          <w:rFonts w:eastAsia="Times New Roman" w:cs="Arial"/>
          <w:lang w:eastAsia="en-ZA"/>
        </w:rPr>
        <w:t xml:space="preserve"> at least 129 African swine fever outbreaks, located all over a nation with a $1 trillion hog industry, and the virus has spread to hogs in nearby pork-consuming nations: </w:t>
      </w:r>
      <w:hyperlink r:id="rId228" w:history="1">
        <w:r w:rsidRPr="00FA1C1A">
          <w:rPr>
            <w:rFonts w:eastAsia="Times New Roman" w:cs="Arial"/>
            <w:color w:val="0000FF"/>
            <w:u w:val="single"/>
            <w:lang w:eastAsia="en-ZA"/>
          </w:rPr>
          <w:t>Taiwan</w:t>
        </w:r>
      </w:hyperlink>
      <w:r w:rsidRPr="00FA1C1A">
        <w:rPr>
          <w:rFonts w:eastAsia="Times New Roman" w:cs="Arial"/>
          <w:lang w:eastAsia="en-ZA"/>
        </w:rPr>
        <w:t xml:space="preserve">, </w:t>
      </w:r>
      <w:hyperlink r:id="rId229" w:history="1">
        <w:r w:rsidRPr="00FA1C1A">
          <w:rPr>
            <w:rFonts w:eastAsia="Times New Roman" w:cs="Arial"/>
            <w:color w:val="0000FF"/>
            <w:u w:val="single"/>
            <w:lang w:eastAsia="en-ZA"/>
          </w:rPr>
          <w:t>Vietnam</w:t>
        </w:r>
      </w:hyperlink>
      <w:r w:rsidRPr="00FA1C1A">
        <w:rPr>
          <w:rFonts w:eastAsia="Times New Roman" w:cs="Arial"/>
          <w:lang w:eastAsia="en-ZA"/>
        </w:rPr>
        <w:t xml:space="preserve">, </w:t>
      </w:r>
      <w:hyperlink r:id="rId230" w:history="1">
        <w:r w:rsidRPr="00FA1C1A">
          <w:rPr>
            <w:rFonts w:eastAsia="Times New Roman" w:cs="Arial"/>
            <w:color w:val="0000FF"/>
            <w:u w:val="single"/>
            <w:lang w:eastAsia="en-ZA"/>
          </w:rPr>
          <w:t>Mongolia</w:t>
        </w:r>
      </w:hyperlink>
      <w:r w:rsidRPr="00FA1C1A">
        <w:rPr>
          <w:rFonts w:eastAsia="Times New Roman" w:cs="Arial"/>
          <w:lang w:eastAsia="en-ZA"/>
        </w:rPr>
        <w:t xml:space="preserve">, </w:t>
      </w:r>
      <w:hyperlink r:id="rId231" w:anchor="77d5f69067f4" w:history="1">
        <w:r w:rsidRPr="00FA1C1A">
          <w:rPr>
            <w:rFonts w:eastAsia="Times New Roman" w:cs="Arial"/>
            <w:color w:val="0000FF"/>
            <w:u w:val="single"/>
            <w:lang w:eastAsia="en-ZA"/>
          </w:rPr>
          <w:t>Cambodia, and North Korea</w:t>
        </w:r>
      </w:hyperlink>
      <w:r w:rsidRPr="00FA1C1A">
        <w:rPr>
          <w:rFonts w:eastAsia="Times New Roman" w:cs="Arial"/>
          <w:lang w:eastAsia="en-ZA"/>
        </w:rPr>
        <w:t xml:space="preserve">. Thailand and Laos are both bracing for the likely arrival of swine fever to their herds. Smugglers and food exporters trying to bypass quarantine controls have taken pork products infected with the swine fever to markets in </w:t>
      </w:r>
      <w:hyperlink r:id="rId232" w:history="1">
        <w:r w:rsidRPr="00FA1C1A">
          <w:rPr>
            <w:rFonts w:eastAsia="Times New Roman" w:cs="Arial"/>
            <w:color w:val="0000FF"/>
            <w:u w:val="single"/>
            <w:lang w:eastAsia="en-ZA"/>
          </w:rPr>
          <w:t>Japan</w:t>
        </w:r>
      </w:hyperlink>
      <w:r w:rsidRPr="00FA1C1A">
        <w:rPr>
          <w:rFonts w:eastAsia="Times New Roman" w:cs="Arial"/>
          <w:lang w:eastAsia="en-ZA"/>
        </w:rPr>
        <w:t xml:space="preserve">, </w:t>
      </w:r>
      <w:hyperlink r:id="rId233" w:history="1">
        <w:r w:rsidRPr="00FA1C1A">
          <w:rPr>
            <w:rFonts w:eastAsia="Times New Roman" w:cs="Arial"/>
            <w:color w:val="0000FF"/>
            <w:u w:val="single"/>
            <w:lang w:eastAsia="en-ZA"/>
          </w:rPr>
          <w:t>Taiwan</w:t>
        </w:r>
      </w:hyperlink>
      <w:r w:rsidRPr="00FA1C1A">
        <w:rPr>
          <w:rFonts w:eastAsia="Times New Roman" w:cs="Arial"/>
          <w:lang w:eastAsia="en-ZA"/>
        </w:rPr>
        <w:t xml:space="preserve">, </w:t>
      </w:r>
      <w:hyperlink r:id="rId234" w:history="1">
        <w:r w:rsidRPr="00FA1C1A">
          <w:rPr>
            <w:rFonts w:eastAsia="Times New Roman" w:cs="Arial"/>
            <w:color w:val="0000FF"/>
            <w:u w:val="single"/>
            <w:lang w:eastAsia="en-ZA"/>
          </w:rPr>
          <w:t>Australia</w:t>
        </w:r>
      </w:hyperlink>
      <w:r w:rsidRPr="00FA1C1A">
        <w:rPr>
          <w:rFonts w:eastAsia="Times New Roman" w:cs="Arial"/>
          <w:lang w:eastAsia="en-ZA"/>
        </w:rPr>
        <w:t xml:space="preserve">, and </w:t>
      </w:r>
      <w:hyperlink r:id="rId235" w:history="1">
        <w:r w:rsidRPr="00FA1C1A">
          <w:rPr>
            <w:rFonts w:eastAsia="Times New Roman" w:cs="Arial"/>
            <w:color w:val="0000FF"/>
            <w:u w:val="single"/>
            <w:lang w:eastAsia="en-ZA"/>
          </w:rPr>
          <w:t>South Korea</w:t>
        </w:r>
      </w:hyperlink>
      <w:r w:rsidRPr="00FA1C1A">
        <w:rPr>
          <w:rFonts w:eastAsia="Times New Roman" w:cs="Arial"/>
          <w:lang w:eastAsia="en-ZA"/>
        </w:rPr>
        <w:t xml:space="preserve">. In October, the U.S. Department of Agriculture said there was no testing method for it to screen imported pork products for the disease. In March, U.S. Customs and Border Protection officials </w:t>
      </w:r>
      <w:hyperlink r:id="rId236" w:anchor="77d5f69067f4" w:history="1">
        <w:r w:rsidRPr="00FA1C1A">
          <w:rPr>
            <w:rFonts w:eastAsia="Times New Roman" w:cs="Arial"/>
            <w:color w:val="0000FF"/>
            <w:u w:val="single"/>
            <w:lang w:eastAsia="en-ZA"/>
          </w:rPr>
          <w:t>captured</w:t>
        </w:r>
      </w:hyperlink>
      <w:r w:rsidRPr="00FA1C1A">
        <w:rPr>
          <w:rFonts w:eastAsia="Times New Roman" w:cs="Arial"/>
          <w:lang w:eastAsia="en-ZA"/>
        </w:rPr>
        <w:t xml:space="preserve"> 50 shipping containers at the Port of New York and New Jersey loaded with 1 million pounds of deliberately mislabeled Chinese pork—a discovery that has American hog farmers worried that China’s swine fever will eventually hit U.S. pigs.</w:t>
      </w:r>
    </w:p>
    <w:p w14:paraId="6595A1F7" w14:textId="77777777" w:rsidR="00FA1C1A" w:rsidRPr="00FA1C1A" w:rsidRDefault="00FA1C1A" w:rsidP="00FA1C1A">
      <w:pPr>
        <w:spacing w:before="120" w:after="120"/>
        <w:jc w:val="both"/>
        <w:rPr>
          <w:rFonts w:eastAsia="Times New Roman" w:cs="Arial"/>
          <w:lang w:eastAsia="en-ZA"/>
        </w:rPr>
      </w:pPr>
      <w:r w:rsidRPr="00FA1C1A">
        <w:rPr>
          <w:rFonts w:eastAsia="Times New Roman" w:cs="Arial"/>
          <w:lang w:eastAsia="en-ZA"/>
        </w:rPr>
        <w:t xml:space="preserve">Under the Chinese zodiac, this is the Year of the Pig, but China has </w:t>
      </w:r>
      <w:hyperlink r:id="rId237" w:history="1">
        <w:r w:rsidRPr="00FA1C1A">
          <w:rPr>
            <w:rFonts w:eastAsia="Times New Roman" w:cs="Arial"/>
            <w:color w:val="0000FF"/>
            <w:u w:val="single"/>
            <w:lang w:eastAsia="en-ZA"/>
          </w:rPr>
          <w:t>already lost</w:t>
        </w:r>
      </w:hyperlink>
      <w:r w:rsidRPr="00FA1C1A">
        <w:rPr>
          <w:rFonts w:eastAsia="Times New Roman" w:cs="Arial"/>
          <w:lang w:eastAsia="en-ZA"/>
        </w:rPr>
        <w:t xml:space="preserve"> an estimated 134 million pigs out of its 440 million swine and $128 billion pork industry. Forecasters say a total 2019 pig loss of </w:t>
      </w:r>
      <w:hyperlink r:id="rId238" w:history="1">
        <w:r w:rsidRPr="00FA1C1A">
          <w:rPr>
            <w:rFonts w:eastAsia="Times New Roman" w:cs="Arial"/>
            <w:color w:val="0000FF"/>
            <w:u w:val="single"/>
            <w:lang w:eastAsia="en-ZA"/>
          </w:rPr>
          <w:t>134 million</w:t>
        </w:r>
      </w:hyperlink>
      <w:r w:rsidRPr="00FA1C1A">
        <w:rPr>
          <w:rFonts w:eastAsia="Times New Roman" w:cs="Arial"/>
          <w:lang w:eastAsia="en-ZA"/>
        </w:rPr>
        <w:t xml:space="preserve">—nearly half of China’s entire herd—seems likely. Pork products worldwide have been </w:t>
      </w:r>
      <w:hyperlink r:id="rId239" w:history="1">
        <w:r w:rsidRPr="00FA1C1A">
          <w:rPr>
            <w:rFonts w:eastAsia="Times New Roman" w:cs="Arial"/>
            <w:color w:val="0000FF"/>
            <w:u w:val="single"/>
            <w:lang w:eastAsia="en-ZA"/>
          </w:rPr>
          <w:t>affected</w:t>
        </w:r>
      </w:hyperlink>
      <w:r w:rsidRPr="00FA1C1A">
        <w:rPr>
          <w:rFonts w:eastAsia="Times New Roman" w:cs="Arial"/>
          <w:lang w:eastAsia="en-ZA"/>
        </w:rPr>
        <w:t xml:space="preserve">: The cost of pork in China is up 21 percent since this time last year, bacon prices spiked 20 percent in Spain in March, and pork shoulders are 17 percent more expensive in Germany. And other meats are costing more as people switch from </w:t>
      </w:r>
      <w:r w:rsidRPr="00FA1C1A">
        <w:rPr>
          <w:rFonts w:eastAsia="Times New Roman" w:cs="Arial"/>
          <w:lang w:eastAsia="en-ZA"/>
        </w:rPr>
        <w:lastRenderedPageBreak/>
        <w:t xml:space="preserve">high-priced pork to beef or chicken. The economist Arlan Suderman told </w:t>
      </w:r>
      <w:hyperlink r:id="rId240" w:history="1">
        <w:r w:rsidRPr="00FA1C1A">
          <w:rPr>
            <w:rFonts w:eastAsia="Times New Roman" w:cs="Arial"/>
            <w:i/>
            <w:iCs/>
            <w:color w:val="0000FF"/>
            <w:u w:val="single"/>
            <w:lang w:eastAsia="en-ZA"/>
          </w:rPr>
          <w:t>Bloomberg Businessweek</w:t>
        </w:r>
      </w:hyperlink>
      <w:r w:rsidRPr="00FA1C1A">
        <w:rPr>
          <w:rFonts w:eastAsia="Times New Roman" w:cs="Arial"/>
          <w:lang w:eastAsia="en-ZA"/>
        </w:rPr>
        <w:t>, “This is an unprecedented situation. This will impact food prices globally.”</w:t>
      </w:r>
    </w:p>
    <w:p w14:paraId="38736FC6" w14:textId="77777777" w:rsidR="00FA1C1A" w:rsidRPr="00FA1C1A" w:rsidRDefault="00FA1C1A" w:rsidP="00FA1C1A">
      <w:pPr>
        <w:spacing w:before="120" w:after="120"/>
        <w:jc w:val="both"/>
        <w:rPr>
          <w:rFonts w:eastAsia="Times New Roman" w:cs="Arial"/>
          <w:lang w:eastAsia="en-ZA"/>
        </w:rPr>
      </w:pPr>
      <w:r w:rsidRPr="00FA1C1A">
        <w:rPr>
          <w:rFonts w:eastAsia="Times New Roman" w:cs="Arial"/>
          <w:lang w:eastAsia="en-ZA"/>
        </w:rPr>
        <w:t xml:space="preserve">Meanwhile, some 80 percent of Chinese farmers have decided not to restock their swine herds—until the government gives a green light, or they are sure African swine fever is gone. “The impact on China’s pork industry has been catastrophic. Farms are empty across China. Farmers have been directed to wait up to [six] months before restocking,” Brett Stuart, a co-founder of Global AgriTrends, </w:t>
      </w:r>
      <w:hyperlink r:id="rId241" w:history="1">
        <w:r w:rsidRPr="00FA1C1A">
          <w:rPr>
            <w:rFonts w:eastAsia="Times New Roman" w:cs="Arial"/>
            <w:color w:val="0000FF"/>
            <w:u w:val="single"/>
            <w:lang w:eastAsia="en-ZA"/>
          </w:rPr>
          <w:t xml:space="preserve">told </w:t>
        </w:r>
        <w:r w:rsidRPr="00FA1C1A">
          <w:rPr>
            <w:rFonts w:eastAsia="Times New Roman" w:cs="Arial"/>
            <w:i/>
            <w:iCs/>
            <w:color w:val="0000FF"/>
            <w:u w:val="single"/>
            <w:lang w:eastAsia="en-ZA"/>
          </w:rPr>
          <w:t>Time.</w:t>
        </w:r>
      </w:hyperlink>
    </w:p>
    <w:p w14:paraId="3F93E01D" w14:textId="77777777" w:rsidR="00FA1C1A" w:rsidRPr="00FA1C1A" w:rsidRDefault="00FA1C1A" w:rsidP="00FA1C1A">
      <w:pPr>
        <w:spacing w:before="120" w:after="120"/>
        <w:jc w:val="both"/>
        <w:rPr>
          <w:rFonts w:eastAsia="Times New Roman" w:cs="Arial"/>
          <w:lang w:eastAsia="en-ZA"/>
        </w:rPr>
      </w:pPr>
      <w:r w:rsidRPr="00FA1C1A">
        <w:rPr>
          <w:rFonts w:eastAsia="Times New Roman" w:cs="Arial"/>
          <w:lang w:eastAsia="en-ZA"/>
        </w:rPr>
        <w:t xml:space="preserve">This, in turn, has had a major impact on the U.S. agriculture industry, which was once the main supplier of the soybeans and corn that China used to feed its pigs. As Chinese farmers have lost or culled their herds, demand for U.S. soybeans and corn has plummeted. By this time in 2018, American farmers had </w:t>
      </w:r>
      <w:hyperlink r:id="rId242" w:history="1">
        <w:r w:rsidRPr="00FA1C1A">
          <w:rPr>
            <w:rFonts w:eastAsia="Times New Roman" w:cs="Arial"/>
            <w:color w:val="0000FF"/>
            <w:u w:val="single"/>
            <w:lang w:eastAsia="en-ZA"/>
          </w:rPr>
          <w:t>sold</w:t>
        </w:r>
      </w:hyperlink>
      <w:r w:rsidRPr="00FA1C1A">
        <w:rPr>
          <w:rFonts w:eastAsia="Times New Roman" w:cs="Arial"/>
          <w:lang w:eastAsia="en-ZA"/>
        </w:rPr>
        <w:t xml:space="preserve"> 28.7 million tons of soybean meal to China; so far in 2019, they have sold less than half that, 12.9 million tons. In mid-April, U.S. soybean </w:t>
      </w:r>
      <w:hyperlink r:id="rId243" w:history="1">
        <w:r w:rsidRPr="00FA1C1A">
          <w:rPr>
            <w:rFonts w:eastAsia="Times New Roman" w:cs="Arial"/>
            <w:color w:val="0000FF"/>
            <w:u w:val="single"/>
            <w:lang w:eastAsia="en-ZA"/>
          </w:rPr>
          <w:t>exports sank</w:t>
        </w:r>
      </w:hyperlink>
      <w:r w:rsidRPr="00FA1C1A">
        <w:rPr>
          <w:rFonts w:eastAsia="Times New Roman" w:cs="Arial"/>
          <w:lang w:eastAsia="en-ZA"/>
        </w:rPr>
        <w:t xml:space="preserve"> from 888,700 metric tons one week to 460,700 tons the next—a fall likely due to African swine fever and swine herd losses in China. One commodities expert </w:t>
      </w:r>
      <w:hyperlink r:id="rId244" w:history="1">
        <w:r w:rsidRPr="00FA1C1A">
          <w:rPr>
            <w:rFonts w:eastAsia="Times New Roman" w:cs="Arial"/>
            <w:color w:val="0000FF"/>
            <w:u w:val="single"/>
            <w:lang w:eastAsia="en-ZA"/>
          </w:rPr>
          <w:t>predicts</w:t>
        </w:r>
      </w:hyperlink>
      <w:r w:rsidRPr="00FA1C1A">
        <w:rPr>
          <w:rFonts w:eastAsia="Times New Roman" w:cs="Arial"/>
          <w:lang w:eastAsia="en-ZA"/>
        </w:rPr>
        <w:t xml:space="preserve"> 2019 and 2020 will both see a drop of 2 billion bushels in U.S. exports to China, dubbing the disease a “ train wreck in slow motion” for the American soybean market.</w:t>
      </w:r>
    </w:p>
    <w:p w14:paraId="27098291" w14:textId="77777777" w:rsidR="00FA1C1A" w:rsidRPr="00FA1C1A" w:rsidRDefault="00FA1C1A" w:rsidP="00FA1C1A">
      <w:pPr>
        <w:spacing w:before="120" w:after="120"/>
        <w:jc w:val="both"/>
        <w:rPr>
          <w:rFonts w:eastAsia="Times New Roman" w:cs="Arial"/>
          <w:lang w:eastAsia="en-ZA"/>
        </w:rPr>
      </w:pPr>
      <w:r w:rsidRPr="00FA1C1A">
        <w:rPr>
          <w:rFonts w:eastAsia="Times New Roman" w:cs="Arial"/>
          <w:lang w:eastAsia="en-ZA"/>
        </w:rPr>
        <w:t>Read More</w:t>
      </w:r>
    </w:p>
    <w:p w14:paraId="32E2B9D6" w14:textId="77777777" w:rsidR="00FA1C1A" w:rsidRPr="00FA1C1A" w:rsidRDefault="00FA1C1A" w:rsidP="00FA1C1A">
      <w:pPr>
        <w:spacing w:before="120" w:after="120"/>
        <w:jc w:val="both"/>
        <w:rPr>
          <w:rFonts w:eastAsia="Times New Roman" w:cs="Arial"/>
          <w:lang w:eastAsia="en-ZA"/>
        </w:rPr>
      </w:pPr>
      <w:r w:rsidRPr="00FA1C1A">
        <w:rPr>
          <w:rFonts w:eastAsia="Times New Roman" w:cs="Arial"/>
          <w:lang w:eastAsia="en-ZA"/>
        </w:rPr>
        <w:t xml:space="preserve">And that’s before accounting for the impact of new Chinese tariffs, in retaliation for the Trump administration’s tariffs on Chinese goods. In China, U.S. soybean meal is now $10 to $25 per ton </w:t>
      </w:r>
      <w:hyperlink r:id="rId245" w:history="1">
        <w:r w:rsidRPr="00FA1C1A">
          <w:rPr>
            <w:rFonts w:eastAsia="Times New Roman" w:cs="Arial"/>
            <w:color w:val="0000FF"/>
            <w:u w:val="single"/>
            <w:lang w:eastAsia="en-ZA"/>
          </w:rPr>
          <w:t>more expensive</w:t>
        </w:r>
      </w:hyperlink>
      <w:r w:rsidRPr="00FA1C1A">
        <w:rPr>
          <w:rFonts w:eastAsia="Times New Roman" w:cs="Arial"/>
          <w:lang w:eastAsia="en-ZA"/>
        </w:rPr>
        <w:t xml:space="preserve"> than Brazilian soybeans due to the tariffs. Even if the swine fever epidemic were to miraculously come to a halt before the 2019 soybean harvest, experts say, China will not quickly rebuild its herds and restore U.S. soybean demand. Market recovery—at both ends of the trade dispute—could take three years or more. Assuming African swine fever continues to plague China for several years, as has been the case in Eastern Europe and Russia, America’s soybean farmers could be in </w:t>
      </w:r>
      <w:hyperlink r:id="rId246" w:history="1">
        <w:r w:rsidRPr="00FA1C1A">
          <w:rPr>
            <w:rFonts w:eastAsia="Times New Roman" w:cs="Arial"/>
            <w:color w:val="0000FF"/>
            <w:u w:val="single"/>
            <w:lang w:eastAsia="en-ZA"/>
          </w:rPr>
          <w:t>dire straits</w:t>
        </w:r>
      </w:hyperlink>
      <w:r w:rsidRPr="00FA1C1A">
        <w:rPr>
          <w:rFonts w:eastAsia="Times New Roman" w:cs="Arial"/>
          <w:lang w:eastAsia="en-ZA"/>
        </w:rPr>
        <w:t xml:space="preserve"> for a long time. And this will only worsen if the Trump administration pushes tariffs still higher.</w:t>
      </w:r>
    </w:p>
    <w:p w14:paraId="3F001352" w14:textId="77777777" w:rsidR="00FA1C1A" w:rsidRPr="00FA1C1A" w:rsidRDefault="00FA1C1A" w:rsidP="00FA1C1A">
      <w:pPr>
        <w:spacing w:before="120" w:after="120"/>
        <w:jc w:val="both"/>
        <w:rPr>
          <w:rFonts w:eastAsia="Times New Roman" w:cs="Arial"/>
          <w:lang w:eastAsia="en-ZA"/>
        </w:rPr>
      </w:pPr>
      <w:r w:rsidRPr="00FA1C1A">
        <w:rPr>
          <w:rFonts w:eastAsia="Times New Roman" w:cs="Arial"/>
          <w:lang w:eastAsia="en-ZA"/>
        </w:rPr>
        <w:t xml:space="preserve">The Xi government also imposed tariffs on U.S. pork, totaling 62 percent, but demand in China for U.S. pork products is nevertheless high; Chinese orders for U.S. pork meat quintupled this March and April. That means the cost of bacon, pork chops, and other pork products </w:t>
      </w:r>
      <w:hyperlink r:id="rId247" w:history="1">
        <w:r w:rsidRPr="00FA1C1A">
          <w:rPr>
            <w:rFonts w:eastAsia="Times New Roman" w:cs="Arial"/>
            <w:color w:val="0000FF"/>
            <w:u w:val="single"/>
            <w:lang w:eastAsia="en-ZA"/>
          </w:rPr>
          <w:t>will climb steadily</w:t>
        </w:r>
      </w:hyperlink>
      <w:r w:rsidRPr="00FA1C1A">
        <w:rPr>
          <w:rFonts w:eastAsia="Times New Roman" w:cs="Arial"/>
          <w:lang w:eastAsia="en-ZA"/>
        </w:rPr>
        <w:t xml:space="preserve"> for American consumers—and everybody else in the world—as the United States struggles to meet that demand. And inside China, economists are nervously watching soaring inflation in pork prices and spillover increases in costs for substitute meats like chicken, duck, and beef. The fear is that African swine fever could push the broader Chinese economy into runaway </w:t>
      </w:r>
      <w:hyperlink r:id="rId248" w:history="1">
        <w:r w:rsidRPr="00FA1C1A">
          <w:rPr>
            <w:rFonts w:eastAsia="Times New Roman" w:cs="Arial"/>
            <w:color w:val="0000FF"/>
            <w:u w:val="single"/>
            <w:lang w:eastAsia="en-ZA"/>
          </w:rPr>
          <w:t>inflation</w:t>
        </w:r>
      </w:hyperlink>
      <w:r w:rsidRPr="00FA1C1A">
        <w:rPr>
          <w:rFonts w:eastAsia="Times New Roman" w:cs="Arial"/>
          <w:lang w:eastAsia="en-ZA"/>
        </w:rPr>
        <w:t>.</w:t>
      </w:r>
    </w:p>
    <w:p w14:paraId="00F1FCB2" w14:textId="77777777" w:rsidR="00FA1C1A" w:rsidRPr="00FA1C1A" w:rsidRDefault="00FA1C1A" w:rsidP="00FA1C1A">
      <w:pPr>
        <w:spacing w:before="120" w:after="120"/>
        <w:jc w:val="both"/>
        <w:rPr>
          <w:rFonts w:eastAsia="Times New Roman" w:cs="Arial"/>
          <w:lang w:eastAsia="en-ZA"/>
        </w:rPr>
      </w:pPr>
      <w:r w:rsidRPr="00FA1C1A">
        <w:rPr>
          <w:rFonts w:eastAsia="Times New Roman" w:cs="Arial"/>
          <w:lang w:eastAsia="en-ZA"/>
        </w:rPr>
        <w:t xml:space="preserve">Lurking in the background of this swine fever and tariffs situation in China are concerns about the </w:t>
      </w:r>
      <w:hyperlink r:id="rId249" w:history="1">
        <w:r w:rsidRPr="00FA1C1A">
          <w:rPr>
            <w:rFonts w:eastAsia="Times New Roman" w:cs="Arial"/>
            <w:color w:val="0000FF"/>
            <w:u w:val="single"/>
            <w:lang w:eastAsia="en-ZA"/>
          </w:rPr>
          <w:t>world’s heparin supply</w:t>
        </w:r>
      </w:hyperlink>
      <w:r w:rsidRPr="00FA1C1A">
        <w:rPr>
          <w:rFonts w:eastAsia="Times New Roman" w:cs="Arial"/>
          <w:lang w:eastAsia="en-ZA"/>
        </w:rPr>
        <w:t xml:space="preserve">. The primary blood thinner used worldwide to prevent some post-operative and dialysis patients from suffering or dying from blood clots, heparin is made from boiled pigs’ intestines. In China, slaughterhouses and pig farmers boil the swine offal until they have a crude mucus, which is then sold to Chinese pharmaceutical manufacturers, which isolate the key blood-thinning ingredient, formulate it in injectable form, and sell the heparin worldwide. In 2007, a different pig virus, causing porcine reproductive and respiratory syndrome, took a huge toll on China’s swine population, decreasing offal supplies. In the absence of sufficient crude product to meet their global heparin orders, Chinese manufacturers </w:t>
      </w:r>
      <w:hyperlink r:id="rId250" w:history="1">
        <w:r w:rsidRPr="00FA1C1A">
          <w:rPr>
            <w:rFonts w:eastAsia="Times New Roman" w:cs="Arial"/>
            <w:color w:val="0000FF"/>
            <w:u w:val="single"/>
            <w:lang w:eastAsia="en-ZA"/>
          </w:rPr>
          <w:t>substituted</w:t>
        </w:r>
      </w:hyperlink>
      <w:r w:rsidRPr="00FA1C1A">
        <w:rPr>
          <w:rFonts w:eastAsia="Times New Roman" w:cs="Arial"/>
          <w:lang w:eastAsia="en-ZA"/>
        </w:rPr>
        <w:t xml:space="preserve"> a similar chemical, oversulfated chondroitin sulfate, which is about 100 times cheaper than the pig-derived ingredient—so the Chinese manufacturers stood to make a tidy profit.</w:t>
      </w:r>
    </w:p>
    <w:p w14:paraId="5E77EC37" w14:textId="77777777" w:rsidR="00FA1C1A" w:rsidRPr="00FA1C1A" w:rsidRDefault="00FA1C1A" w:rsidP="00FA1C1A">
      <w:pPr>
        <w:spacing w:before="120" w:after="120"/>
        <w:jc w:val="both"/>
        <w:rPr>
          <w:rFonts w:eastAsia="Times New Roman" w:cs="Arial"/>
          <w:lang w:eastAsia="en-ZA"/>
        </w:rPr>
      </w:pPr>
      <w:r w:rsidRPr="00FA1C1A">
        <w:rPr>
          <w:rFonts w:eastAsia="Times New Roman" w:cs="Arial"/>
          <w:lang w:eastAsia="en-ZA"/>
        </w:rPr>
        <w:t xml:space="preserve">The primary Western distributor, Baxter Healthcare, did not notice the difference. Nor did the U.S. Food and Drug Administration, which at the time lacked a testing system sophisticated enough to detect the swindle. The results were grim for patients. In the United States, 574 dialysis patients suffered </w:t>
      </w:r>
      <w:hyperlink r:id="rId251" w:history="1">
        <w:r w:rsidRPr="00FA1C1A">
          <w:rPr>
            <w:rFonts w:eastAsia="Times New Roman" w:cs="Arial"/>
            <w:color w:val="0000FF"/>
            <w:u w:val="single"/>
            <w:lang w:eastAsia="en-ZA"/>
          </w:rPr>
          <w:t>allergic reactions</w:t>
        </w:r>
      </w:hyperlink>
      <w:r w:rsidRPr="00FA1C1A">
        <w:rPr>
          <w:rFonts w:eastAsia="Times New Roman" w:cs="Arial"/>
          <w:lang w:eastAsia="en-ZA"/>
        </w:rPr>
        <w:t xml:space="preserve"> to the oversulfated chondroitin sulfate, which killed 68 of them. European countries also had cases, and deaths, but no European Union agency published a detailed accounting of the problem. Nearly 80 percent of the world’s heparin ingredient supply is made in China, which is why a halving of the nation’s swine population should also be a major pharmaceutical concern for the world.</w:t>
      </w:r>
    </w:p>
    <w:p w14:paraId="39ADD29F" w14:textId="44DA6936" w:rsidR="00FA1C1A" w:rsidRDefault="00FA1C1A" w:rsidP="00FA1C1A">
      <w:pPr>
        <w:spacing w:before="120" w:after="120"/>
        <w:jc w:val="both"/>
        <w:rPr>
          <w:rFonts w:eastAsia="Times New Roman" w:cs="Arial"/>
          <w:lang w:eastAsia="en-ZA"/>
        </w:rPr>
      </w:pPr>
      <w:r w:rsidRPr="00FA1C1A">
        <w:rPr>
          <w:rFonts w:eastAsia="Times New Roman" w:cs="Arial"/>
          <w:lang w:eastAsia="en-ZA"/>
        </w:rPr>
        <w:lastRenderedPageBreak/>
        <w:t xml:space="preserve">If trade negotiations stay sour between the United States and China, and tariffs increase, the worldwide markets for soybeans, pork, heparin, and dozens of other agricultural products could be disrupted. But that process would be grossly exacerbated by the African swine fever epidemic in China. As U.S. soybean producers suffer the double whammy of tariffs and lowered demand for hog meal, there will be ripple effects across agricultural economies in the United States. The only good news may be for Brazil, where soybean supplies, thanks to President Jair Bolsonaro’s </w:t>
      </w:r>
      <w:hyperlink r:id="rId252" w:history="1">
        <w:r w:rsidRPr="00FA1C1A">
          <w:rPr>
            <w:rFonts w:eastAsia="Times New Roman" w:cs="Arial"/>
            <w:color w:val="0000FF"/>
            <w:u w:val="single"/>
            <w:lang w:eastAsia="en-ZA"/>
          </w:rPr>
          <w:t>assault</w:t>
        </w:r>
      </w:hyperlink>
      <w:r w:rsidRPr="00FA1C1A">
        <w:rPr>
          <w:rFonts w:eastAsia="Times New Roman" w:cs="Arial"/>
          <w:lang w:eastAsia="en-ZA"/>
        </w:rPr>
        <w:t xml:space="preserve"> on Amazon rainforest protections, are expected to soon grow rapidly.</w:t>
      </w:r>
    </w:p>
    <w:p w14:paraId="0A03182F" w14:textId="77777777" w:rsidR="00FA1C1A" w:rsidRPr="00FA1C1A" w:rsidRDefault="00FA1C1A" w:rsidP="00FA1C1A">
      <w:pPr>
        <w:spacing w:before="120" w:after="120"/>
        <w:jc w:val="both"/>
        <w:rPr>
          <w:rFonts w:eastAsia="Times New Roman" w:cs="Arial"/>
          <w:lang w:eastAsia="en-ZA"/>
        </w:rPr>
      </w:pPr>
    </w:p>
    <w:p w14:paraId="06234C80" w14:textId="58EF070D" w:rsidR="00FA1C1A" w:rsidRDefault="00FA1C1A" w:rsidP="00FA1C1A">
      <w:pPr>
        <w:spacing w:before="120" w:after="120"/>
        <w:jc w:val="both"/>
        <w:rPr>
          <w:rFonts w:eastAsia="Times New Roman" w:cs="Arial"/>
          <w:lang w:eastAsia="en-ZA"/>
        </w:rPr>
      </w:pPr>
      <w:hyperlink r:id="rId253" w:history="1">
        <w:r w:rsidRPr="005E7EB2">
          <w:rPr>
            <w:rStyle w:val="Hyperlink"/>
            <w:rFonts w:eastAsia="Times New Roman" w:cs="Arial"/>
            <w:lang w:eastAsia="en-ZA"/>
          </w:rPr>
          <w:t>https://foreignpolicy.com/2019/05/10/donald-trump-and-swine-flu-have-a-lot-in-common/</w:t>
        </w:r>
      </w:hyperlink>
    </w:p>
    <w:p w14:paraId="6C741338" w14:textId="25F2A8E0" w:rsidR="00FA1C1A" w:rsidRDefault="00FA1C1A" w:rsidP="00FA1C1A">
      <w:pPr>
        <w:spacing w:before="120" w:after="120"/>
        <w:jc w:val="both"/>
        <w:rPr>
          <w:rFonts w:eastAsia="Times New Roman" w:cs="Arial"/>
          <w:lang w:eastAsia="en-ZA"/>
        </w:rPr>
      </w:pPr>
    </w:p>
    <w:p w14:paraId="6945619B" w14:textId="25BE550C" w:rsidR="00FA1C1A" w:rsidRDefault="00FA1C1A" w:rsidP="00FA1C1A">
      <w:pPr>
        <w:spacing w:before="120" w:after="120"/>
        <w:jc w:val="both"/>
        <w:rPr>
          <w:rFonts w:eastAsia="Times New Roman" w:cs="Arial"/>
          <w:lang w:eastAsia="en-ZA"/>
        </w:rPr>
      </w:pPr>
    </w:p>
    <w:p w14:paraId="104C357D" w14:textId="77777777" w:rsidR="00FA1C1A" w:rsidRPr="00FA1C1A" w:rsidRDefault="00FA1C1A" w:rsidP="00FA1C1A">
      <w:pPr>
        <w:pStyle w:val="Heading1"/>
        <w:spacing w:before="120" w:after="120"/>
        <w:jc w:val="both"/>
        <w:rPr>
          <w:rFonts w:ascii="Arial" w:hAnsi="Arial" w:cs="Arial"/>
          <w:sz w:val="28"/>
          <w:szCs w:val="28"/>
        </w:rPr>
      </w:pPr>
      <w:r w:rsidRPr="00FA1C1A">
        <w:rPr>
          <w:rFonts w:ascii="Arial" w:hAnsi="Arial" w:cs="Arial"/>
          <w:sz w:val="28"/>
          <w:szCs w:val="28"/>
        </w:rPr>
        <w:t>Global Warming &amp; Climate Change</w:t>
      </w:r>
    </w:p>
    <w:p w14:paraId="56ACB7FA" w14:textId="77777777" w:rsidR="00FA1C1A" w:rsidRPr="00FA1C1A" w:rsidRDefault="00FA1C1A" w:rsidP="00FA1C1A">
      <w:pPr>
        <w:pStyle w:val="NormalWeb"/>
        <w:spacing w:before="120" w:beforeAutospacing="0" w:after="120" w:afterAutospacing="0"/>
        <w:jc w:val="both"/>
        <w:rPr>
          <w:rFonts w:ascii="Arial" w:hAnsi="Arial" w:cs="Arial"/>
          <w:sz w:val="22"/>
          <w:szCs w:val="22"/>
        </w:rPr>
      </w:pPr>
      <w:r w:rsidRPr="00FA1C1A">
        <w:rPr>
          <w:rStyle w:val="Strong"/>
          <w:rFonts w:ascii="Arial" w:hAnsi="Arial" w:cs="Arial"/>
          <w:sz w:val="22"/>
          <w:szCs w:val="22"/>
        </w:rPr>
        <w:t xml:space="preserve">Author: </w:t>
      </w:r>
      <w:r w:rsidRPr="00FA1C1A">
        <w:rPr>
          <w:rFonts w:ascii="Arial" w:hAnsi="Arial" w:cs="Arial"/>
          <w:sz w:val="22"/>
          <w:szCs w:val="22"/>
        </w:rPr>
        <w:t>Rehana Dada ~ Producer &amp; presenter: SAfm and 50/50 Environmental TV Programme</w:t>
      </w:r>
    </w:p>
    <w:p w14:paraId="3B1ADB2C" w14:textId="77777777" w:rsidR="00FA1C1A" w:rsidRPr="00FA1C1A" w:rsidRDefault="00FA1C1A" w:rsidP="00FA1C1A">
      <w:pPr>
        <w:pStyle w:val="NormalWeb"/>
        <w:spacing w:before="120" w:beforeAutospacing="0" w:after="120" w:afterAutospacing="0"/>
        <w:jc w:val="both"/>
        <w:rPr>
          <w:rFonts w:ascii="Arial" w:hAnsi="Arial" w:cs="Arial"/>
          <w:sz w:val="22"/>
          <w:szCs w:val="22"/>
        </w:rPr>
      </w:pPr>
      <w:r w:rsidRPr="00FA1C1A">
        <w:rPr>
          <w:rStyle w:val="Strong"/>
          <w:rFonts w:ascii="Arial" w:hAnsi="Arial" w:cs="Arial"/>
          <w:sz w:val="22"/>
          <w:szCs w:val="22"/>
        </w:rPr>
        <w:t xml:space="preserve">( Article Type: </w:t>
      </w:r>
      <w:r w:rsidRPr="00FA1C1A">
        <w:rPr>
          <w:rStyle w:val="overview"/>
          <w:rFonts w:ascii="Arial" w:hAnsi="Arial" w:cs="Arial"/>
          <w:b/>
          <w:bCs/>
          <w:sz w:val="22"/>
          <w:szCs w:val="22"/>
        </w:rPr>
        <w:t>Overview</w:t>
      </w:r>
      <w:r w:rsidRPr="00FA1C1A">
        <w:rPr>
          <w:rStyle w:val="Strong"/>
          <w:rFonts w:ascii="Arial" w:hAnsi="Arial" w:cs="Arial"/>
          <w:sz w:val="22"/>
          <w:szCs w:val="22"/>
        </w:rPr>
        <w:t xml:space="preserve"> )</w:t>
      </w:r>
    </w:p>
    <w:p w14:paraId="1056E94D" w14:textId="77777777" w:rsidR="00FA1C1A" w:rsidRPr="00FA1C1A" w:rsidRDefault="00FA1C1A" w:rsidP="00FA1C1A">
      <w:pPr>
        <w:pStyle w:val="Heading2"/>
        <w:spacing w:before="120" w:after="120"/>
        <w:jc w:val="both"/>
        <w:rPr>
          <w:rFonts w:ascii="Arial" w:hAnsi="Arial" w:cs="Arial"/>
          <w:sz w:val="22"/>
          <w:szCs w:val="22"/>
        </w:rPr>
      </w:pPr>
      <w:r w:rsidRPr="00FA1C1A">
        <w:rPr>
          <w:rStyle w:val="Strong"/>
          <w:rFonts w:ascii="Arial" w:hAnsi="Arial" w:cs="Arial"/>
          <w:b/>
          <w:bCs/>
          <w:sz w:val="22"/>
          <w:szCs w:val="22"/>
        </w:rPr>
        <w:t>What is Global Warming and Climate Change?</w:t>
      </w:r>
    </w:p>
    <w:p w14:paraId="7140D8EE" w14:textId="0C55CE9B" w:rsidR="00FA1C1A" w:rsidRPr="00FA1C1A" w:rsidRDefault="00FA1C1A" w:rsidP="00FA1C1A">
      <w:pPr>
        <w:spacing w:before="120" w:after="120"/>
        <w:jc w:val="both"/>
        <w:rPr>
          <w:rFonts w:cs="Arial"/>
        </w:rPr>
      </w:pPr>
      <w:r w:rsidRPr="00FA1C1A">
        <w:rPr>
          <w:rFonts w:cs="Arial"/>
        </w:rPr>
        <w:t>"Global warming", or "climate change", refers to the rise in the planet's overall temperature due to anthropogenic (human-related) increase of greenhouse gasses in the atmosphere. "Greenhouse gases" (GHGs) are a range of natural atmospheric gases that are responsible for trapping the sun's heat on the planet - which enables life as we know it to exist on Earth. </w:t>
      </w:r>
      <w:r w:rsidRPr="00FA1C1A">
        <w:rPr>
          <w:rFonts w:cs="Arial"/>
          <w:noProof/>
        </w:rPr>
        <w:drawing>
          <wp:anchor distT="0" distB="0" distL="0" distR="0" simplePos="0" relativeHeight="251664384" behindDoc="0" locked="0" layoutInCell="1" allowOverlap="0" wp14:anchorId="3355BB48" wp14:editId="76A3FE0A">
            <wp:simplePos x="0" y="0"/>
            <wp:positionH relativeFrom="column">
              <wp:align>left</wp:align>
            </wp:positionH>
            <wp:positionV relativeFrom="line">
              <wp:posOffset>0</wp:posOffset>
            </wp:positionV>
            <wp:extent cx="2857500" cy="4171950"/>
            <wp:effectExtent l="0" t="0" r="0" b="0"/>
            <wp:wrapSquare wrapText="bothSides"/>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4">
                      <a:extLst>
                        <a:ext uri="{28A0092B-C50C-407E-A947-70E740481C1C}">
                          <a14:useLocalDpi xmlns:a14="http://schemas.microsoft.com/office/drawing/2010/main" val="0"/>
                        </a:ext>
                      </a:extLst>
                    </a:blip>
                    <a:srcRect/>
                    <a:stretch>
                      <a:fillRect/>
                    </a:stretch>
                  </pic:blipFill>
                  <pic:spPr bwMode="auto">
                    <a:xfrm>
                      <a:off x="0" y="0"/>
                      <a:ext cx="2857500" cy="41719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FCF17DF" w14:textId="77777777" w:rsidR="00FA1C1A" w:rsidRPr="00FA1C1A" w:rsidRDefault="00FA1C1A" w:rsidP="00FA1C1A">
      <w:pPr>
        <w:pStyle w:val="NormalWeb"/>
        <w:spacing w:before="120" w:beforeAutospacing="0" w:after="120" w:afterAutospacing="0"/>
        <w:jc w:val="both"/>
        <w:rPr>
          <w:rFonts w:ascii="Arial" w:hAnsi="Arial" w:cs="Arial"/>
          <w:sz w:val="22"/>
          <w:szCs w:val="22"/>
        </w:rPr>
      </w:pPr>
      <w:r w:rsidRPr="00FA1C1A">
        <w:rPr>
          <w:rFonts w:ascii="Arial" w:hAnsi="Arial" w:cs="Arial"/>
          <w:sz w:val="22"/>
          <w:szCs w:val="22"/>
        </w:rPr>
        <w:t>But, because of land-use change and the burning of fossil fuels, GHGs have increased since industrialisation. Water vapour and carbon dioxide are the main GHGs but it is the release of carbon dioxide from burning fossil fuels that is considered to have had the greatest recent impact on the earth's climate. While they occur in relatively small concentrations, methane and nitrous oxides are two of the most potent greenhouse gasses. Since the beginning of industrialisation, methane has more than doubled in concentration and nitrous oxides have risen by 8%.</w:t>
      </w:r>
    </w:p>
    <w:p w14:paraId="234B95F8" w14:textId="77777777" w:rsidR="00FA1C1A" w:rsidRPr="00FA1C1A" w:rsidRDefault="00FA1C1A" w:rsidP="00FA1C1A">
      <w:pPr>
        <w:pStyle w:val="Heading2"/>
        <w:spacing w:before="120" w:after="120"/>
        <w:jc w:val="both"/>
        <w:rPr>
          <w:rFonts w:ascii="Arial" w:hAnsi="Arial" w:cs="Arial"/>
          <w:sz w:val="22"/>
          <w:szCs w:val="22"/>
        </w:rPr>
      </w:pPr>
      <w:r w:rsidRPr="00FA1C1A">
        <w:rPr>
          <w:rStyle w:val="Strong"/>
          <w:rFonts w:ascii="Arial" w:hAnsi="Arial" w:cs="Arial"/>
          <w:b/>
          <w:bCs/>
          <w:sz w:val="22"/>
          <w:szCs w:val="22"/>
        </w:rPr>
        <w:t>How real is Climate Change? </w:t>
      </w:r>
    </w:p>
    <w:p w14:paraId="25C5059D" w14:textId="77777777" w:rsidR="00FA1C1A" w:rsidRPr="00FA1C1A" w:rsidRDefault="00FA1C1A" w:rsidP="00FA1C1A">
      <w:pPr>
        <w:pStyle w:val="NormalWeb"/>
        <w:spacing w:before="120" w:beforeAutospacing="0" w:after="120" w:afterAutospacing="0"/>
        <w:jc w:val="both"/>
        <w:rPr>
          <w:rFonts w:ascii="Arial" w:hAnsi="Arial" w:cs="Arial"/>
          <w:sz w:val="22"/>
          <w:szCs w:val="22"/>
        </w:rPr>
      </w:pPr>
      <w:r w:rsidRPr="00FA1C1A">
        <w:rPr>
          <w:rFonts w:ascii="Arial" w:hAnsi="Arial" w:cs="Arial"/>
          <w:sz w:val="22"/>
          <w:szCs w:val="22"/>
        </w:rPr>
        <w:t>The phenomenon of climate change is now accepted by most credible scientists as a reality. While the temperature rise we are currently experiencing is by no means the highest in the planet's history, the changes we are currently experiencing are too sudden and dramatic for many species to be able to adapt. In the past, such dramatic and sudden changes have led to massive extinction events, such as the disappearance of the dinosaurs. </w:t>
      </w:r>
    </w:p>
    <w:p w14:paraId="12752C8F" w14:textId="77777777" w:rsidR="00FA1C1A" w:rsidRPr="00FA1C1A" w:rsidRDefault="00FA1C1A" w:rsidP="00FA1C1A">
      <w:pPr>
        <w:pStyle w:val="NormalWeb"/>
        <w:spacing w:before="120" w:beforeAutospacing="0" w:after="120" w:afterAutospacing="0"/>
        <w:jc w:val="both"/>
        <w:rPr>
          <w:rFonts w:ascii="Arial" w:hAnsi="Arial" w:cs="Arial"/>
          <w:sz w:val="22"/>
          <w:szCs w:val="22"/>
        </w:rPr>
      </w:pPr>
      <w:r w:rsidRPr="00FA1C1A">
        <w:rPr>
          <w:rFonts w:ascii="Arial" w:hAnsi="Arial" w:cs="Arial"/>
          <w:sz w:val="22"/>
          <w:szCs w:val="22"/>
        </w:rPr>
        <w:t>So far, </w:t>
      </w:r>
      <w:hyperlink r:id="rId255" w:tgtFrame="_blank" w:tooltip="Hottest year" w:history="1">
        <w:r w:rsidRPr="00FA1C1A">
          <w:rPr>
            <w:rStyle w:val="Hyperlink"/>
            <w:rFonts w:ascii="Arial" w:eastAsiaTheme="majorEastAsia" w:hAnsi="Arial" w:cs="Arial"/>
            <w:sz w:val="22"/>
            <w:szCs w:val="22"/>
          </w:rPr>
          <w:t>2016 is the hottest year on record</w:t>
        </w:r>
      </w:hyperlink>
      <w:r w:rsidRPr="00FA1C1A">
        <w:rPr>
          <w:rFonts w:ascii="Arial" w:hAnsi="Arial" w:cs="Arial"/>
          <w:sz w:val="22"/>
          <w:szCs w:val="22"/>
        </w:rPr>
        <w:t>.  The average temperature in the first six months of 2016 was 1.3C warmer than the pre-industrial era in the late 19th century, according to </w:t>
      </w:r>
      <w:hyperlink r:id="rId256" w:tgtFrame="_blank" w:tooltip="NASA" w:history="1">
        <w:r w:rsidRPr="00FA1C1A">
          <w:rPr>
            <w:rStyle w:val="Hyperlink"/>
            <w:rFonts w:ascii="Arial" w:eastAsiaTheme="majorEastAsia" w:hAnsi="Arial" w:cs="Arial"/>
            <w:sz w:val="22"/>
            <w:szCs w:val="22"/>
          </w:rPr>
          <w:t>Nasa</w:t>
        </w:r>
      </w:hyperlink>
      <w:r w:rsidRPr="00FA1C1A">
        <w:rPr>
          <w:rFonts w:ascii="Arial" w:hAnsi="Arial" w:cs="Arial"/>
          <w:sz w:val="22"/>
          <w:szCs w:val="22"/>
        </w:rPr>
        <w:t>.</w:t>
      </w:r>
    </w:p>
    <w:p w14:paraId="343B193B" w14:textId="77777777" w:rsidR="00FA1C1A" w:rsidRPr="00FA1C1A" w:rsidRDefault="00FA1C1A" w:rsidP="00FA1C1A">
      <w:pPr>
        <w:pStyle w:val="NormalWeb"/>
        <w:spacing w:before="120" w:beforeAutospacing="0" w:after="120" w:afterAutospacing="0"/>
        <w:jc w:val="both"/>
        <w:rPr>
          <w:rFonts w:ascii="Arial" w:hAnsi="Arial" w:cs="Arial"/>
          <w:sz w:val="22"/>
          <w:szCs w:val="22"/>
        </w:rPr>
      </w:pPr>
      <w:r w:rsidRPr="00FA1C1A">
        <w:rPr>
          <w:rFonts w:ascii="Arial" w:hAnsi="Arial" w:cs="Arial"/>
          <w:sz w:val="22"/>
          <w:szCs w:val="22"/>
        </w:rPr>
        <w:lastRenderedPageBreak/>
        <w:t xml:space="preserve">In addition, proof of climate change is evident in such disasters as the melting of mountain glaciers and the polar ice caps, coral-reef bleaching because of higher sea temperatures, as well as more severe and more frequent Pacific Ocean storm events. </w:t>
      </w:r>
    </w:p>
    <w:p w14:paraId="5A43B783" w14:textId="77777777" w:rsidR="00FA1C1A" w:rsidRPr="00FA1C1A" w:rsidRDefault="00FA1C1A" w:rsidP="00FA1C1A">
      <w:pPr>
        <w:pStyle w:val="NormalWeb"/>
        <w:spacing w:before="120" w:beforeAutospacing="0" w:after="120" w:afterAutospacing="0"/>
        <w:jc w:val="both"/>
        <w:rPr>
          <w:rFonts w:ascii="Arial" w:hAnsi="Arial" w:cs="Arial"/>
          <w:sz w:val="22"/>
          <w:szCs w:val="22"/>
        </w:rPr>
      </w:pPr>
      <w:r w:rsidRPr="00FA1C1A">
        <w:rPr>
          <w:rFonts w:ascii="Arial" w:hAnsi="Arial" w:cs="Arial"/>
          <w:sz w:val="22"/>
          <w:szCs w:val="22"/>
        </w:rPr>
        <w:t>Warning signs of climate change include periods of unusually warmer weather, melting glaciers, polar warming, coral-reef bleaching, heavy precipitation events, longer droughts and dry periods, a rise in sea level, changes in plant and animal distribution and population, and increased environmental degradation and natural disasters.</w:t>
      </w:r>
    </w:p>
    <w:p w14:paraId="72E3F693" w14:textId="77777777" w:rsidR="00FA1C1A" w:rsidRPr="00FA1C1A" w:rsidRDefault="00FA1C1A" w:rsidP="00FA1C1A">
      <w:pPr>
        <w:pStyle w:val="Heading2"/>
        <w:spacing w:before="120" w:after="120"/>
        <w:jc w:val="both"/>
        <w:rPr>
          <w:rFonts w:ascii="Arial" w:hAnsi="Arial" w:cs="Arial"/>
          <w:sz w:val="22"/>
          <w:szCs w:val="22"/>
        </w:rPr>
      </w:pPr>
      <w:r w:rsidRPr="00FA1C1A">
        <w:rPr>
          <w:rStyle w:val="Strong"/>
          <w:rFonts w:ascii="Arial" w:hAnsi="Arial" w:cs="Arial"/>
          <w:b/>
          <w:bCs/>
          <w:sz w:val="22"/>
          <w:szCs w:val="22"/>
        </w:rPr>
        <w:t>What are the potential effects on the planet?</w:t>
      </w:r>
    </w:p>
    <w:p w14:paraId="2E776B60" w14:textId="77777777" w:rsidR="00FA1C1A" w:rsidRPr="00FA1C1A" w:rsidRDefault="00FA1C1A" w:rsidP="00FA1C1A">
      <w:pPr>
        <w:pStyle w:val="NormalWeb"/>
        <w:spacing w:before="120" w:beforeAutospacing="0" w:after="120" w:afterAutospacing="0"/>
        <w:jc w:val="both"/>
        <w:rPr>
          <w:rFonts w:ascii="Arial" w:hAnsi="Arial" w:cs="Arial"/>
          <w:sz w:val="22"/>
          <w:szCs w:val="22"/>
        </w:rPr>
      </w:pPr>
      <w:r w:rsidRPr="00FA1C1A">
        <w:rPr>
          <w:rFonts w:ascii="Arial" w:hAnsi="Arial" w:cs="Arial"/>
          <w:sz w:val="22"/>
          <w:szCs w:val="22"/>
        </w:rPr>
        <w:t>By 2100, it is currently anticipated that average global temperatures will rise by between 1°C and 6°C, with greater warming at the poles than at the equator. The possible impacts of global warming range from changes in rainfall, which affects agriculture, river courses and wetlands, as well as changes in the distribution of biodiversity, including disease-causing organisms.</w:t>
      </w:r>
    </w:p>
    <w:p w14:paraId="78699C27" w14:textId="77777777" w:rsidR="00FA1C1A" w:rsidRPr="00FA1C1A" w:rsidRDefault="00FA1C1A" w:rsidP="00FA1C1A">
      <w:pPr>
        <w:pStyle w:val="Heading2"/>
        <w:spacing w:before="120" w:after="120"/>
        <w:jc w:val="both"/>
        <w:rPr>
          <w:rFonts w:ascii="Arial" w:hAnsi="Arial" w:cs="Arial"/>
          <w:sz w:val="22"/>
          <w:szCs w:val="22"/>
        </w:rPr>
      </w:pPr>
      <w:r w:rsidRPr="00FA1C1A">
        <w:rPr>
          <w:rStyle w:val="Strong"/>
          <w:rFonts w:ascii="Arial" w:hAnsi="Arial" w:cs="Arial"/>
          <w:b/>
          <w:bCs/>
          <w:sz w:val="22"/>
          <w:szCs w:val="22"/>
        </w:rPr>
        <w:t>Who will suffer the most?</w:t>
      </w:r>
    </w:p>
    <w:p w14:paraId="06986F3F" w14:textId="77777777" w:rsidR="00FA1C1A" w:rsidRPr="00FA1C1A" w:rsidRDefault="00FA1C1A" w:rsidP="00FA1C1A">
      <w:pPr>
        <w:pStyle w:val="NormalWeb"/>
        <w:spacing w:before="120" w:beforeAutospacing="0" w:after="120" w:afterAutospacing="0"/>
        <w:jc w:val="both"/>
        <w:rPr>
          <w:rFonts w:ascii="Arial" w:hAnsi="Arial" w:cs="Arial"/>
          <w:sz w:val="22"/>
          <w:szCs w:val="22"/>
        </w:rPr>
      </w:pPr>
      <w:r w:rsidRPr="00FA1C1A">
        <w:rPr>
          <w:rFonts w:ascii="Arial" w:hAnsi="Arial" w:cs="Arial"/>
          <w:sz w:val="22"/>
          <w:szCs w:val="22"/>
        </w:rPr>
        <w:t>In the short term, if no measures are taken to help communities adapt, people's vulnerability to poverty will be increased partly because of ecosystem degradation. The rural poor, subsistence farmers and fisherfolk who depend on natural ecosystems will be particularly vulnerable.</w:t>
      </w:r>
    </w:p>
    <w:p w14:paraId="41A1D92B" w14:textId="77777777" w:rsidR="00FA1C1A" w:rsidRPr="00FA1C1A" w:rsidRDefault="00FA1C1A" w:rsidP="00FA1C1A">
      <w:pPr>
        <w:pStyle w:val="Heading2"/>
        <w:spacing w:before="120" w:after="120"/>
        <w:jc w:val="both"/>
        <w:rPr>
          <w:rFonts w:ascii="Arial" w:hAnsi="Arial" w:cs="Arial"/>
          <w:sz w:val="22"/>
          <w:szCs w:val="22"/>
        </w:rPr>
      </w:pPr>
      <w:r w:rsidRPr="00FA1C1A">
        <w:rPr>
          <w:rStyle w:val="Strong"/>
          <w:rFonts w:ascii="Arial" w:hAnsi="Arial" w:cs="Arial"/>
          <w:b/>
          <w:bCs/>
          <w:sz w:val="22"/>
          <w:szCs w:val="22"/>
        </w:rPr>
        <w:t>How will Global Warming and Climate change affect biodiversty?</w:t>
      </w:r>
    </w:p>
    <w:p w14:paraId="79151A2A" w14:textId="77777777" w:rsidR="00FA1C1A" w:rsidRPr="00FA1C1A" w:rsidRDefault="00FA1C1A" w:rsidP="00FA1C1A">
      <w:pPr>
        <w:pStyle w:val="NormalWeb"/>
        <w:spacing w:before="120" w:beforeAutospacing="0" w:after="120" w:afterAutospacing="0"/>
        <w:jc w:val="both"/>
        <w:rPr>
          <w:rFonts w:ascii="Arial" w:hAnsi="Arial" w:cs="Arial"/>
          <w:sz w:val="22"/>
          <w:szCs w:val="22"/>
        </w:rPr>
      </w:pPr>
      <w:r w:rsidRPr="00FA1C1A">
        <w:rPr>
          <w:rFonts w:ascii="Arial" w:hAnsi="Arial" w:cs="Arial"/>
          <w:sz w:val="22"/>
          <w:szCs w:val="22"/>
        </w:rPr>
        <w:t>A rapid extinction of species is probable because many (plants in particular) will not be able to change their distribution range fast enough. The destruction of wetlands, especially peatlands, adds significantly to the increased release of greenhouse gasses because these habitats are effective carbon stores. In addition, if the oceans and the Arctic tundra warm significantly, millions of tons of frozen methane may be released into the atmosphere.</w:t>
      </w:r>
    </w:p>
    <w:p w14:paraId="3999AB67" w14:textId="77777777" w:rsidR="00FA1C1A" w:rsidRPr="00FA1C1A" w:rsidRDefault="00FA1C1A" w:rsidP="00FA1C1A">
      <w:pPr>
        <w:pStyle w:val="NormalWeb"/>
        <w:spacing w:before="120" w:beforeAutospacing="0" w:after="120" w:afterAutospacing="0"/>
        <w:jc w:val="both"/>
        <w:rPr>
          <w:rFonts w:ascii="Arial" w:hAnsi="Arial" w:cs="Arial"/>
          <w:sz w:val="22"/>
          <w:szCs w:val="22"/>
        </w:rPr>
      </w:pPr>
      <w:r w:rsidRPr="00FA1C1A">
        <w:rPr>
          <w:rFonts w:ascii="Arial" w:hAnsi="Arial" w:cs="Arial"/>
          <w:sz w:val="22"/>
          <w:szCs w:val="22"/>
        </w:rPr>
        <w:t xml:space="preserve">The oceans are important climate regulators, but their ability to mitigate the impacts of the anthropogenic release of carbon dioxide will be reduced because as they warm their ability to absorb heat and carbon dioxide will decrease. Already stressed because of habitat destruction, increased pollution, wetlands degradation and increased sediment load in rivers, the oceans' resilience to climate change will become lower and already severe coral bleaching has been experienced in the Indian and Pacific oceans. The resultant stress on human communities who depend on fisheries and coastal areas for survival could be enormous. Rising sea levels would result in the flooding of coastal areas and many island states could be lost entirely, resulting in a large number of environmental refugees flocking to other countries. Low-lying countries such as Bangladesh and Denmark would therefore come under severe population pressures, as would countries, such as Australia, that may become a harbour for environmental refugees. </w:t>
      </w:r>
    </w:p>
    <w:p w14:paraId="575168DB" w14:textId="77777777" w:rsidR="00FA1C1A" w:rsidRPr="00FA1C1A" w:rsidRDefault="00FA1C1A" w:rsidP="00FA1C1A">
      <w:pPr>
        <w:pStyle w:val="NormalWeb"/>
        <w:spacing w:before="120" w:beforeAutospacing="0" w:after="120" w:afterAutospacing="0"/>
        <w:jc w:val="both"/>
        <w:rPr>
          <w:rFonts w:ascii="Arial" w:hAnsi="Arial" w:cs="Arial"/>
          <w:sz w:val="22"/>
          <w:szCs w:val="22"/>
        </w:rPr>
      </w:pPr>
      <w:r w:rsidRPr="00FA1C1A">
        <w:rPr>
          <w:rFonts w:ascii="Arial" w:hAnsi="Arial" w:cs="Arial"/>
          <w:sz w:val="22"/>
          <w:szCs w:val="22"/>
        </w:rPr>
        <w:t xml:space="preserve">While most changes are expected to occur slowly and over decades, scientists also expect sudden dramatic change events at times. Most parts of the world are expected to warm significantly and already it is seen that average polar temperatures are higher, but because of changes in wind and ocean currents, some parts of the world will experience cooling. Scientific knowledge is not currently accurate enough to predict exactly what changes will occur and all climate processes are not yet fully understood. For example, in areas where rainfall is expected to increase, there is no way to judge whether there will be an even increase throughout the year or rapid flood events for a short part of the year. Part of the knowledge gap relates to the effect of clouds, pollution particles in the air, and how the oceans will respond. There is also a lack of understanding around micro-climatic processes. What many scientists are now saying, however, is that the effects are likely to be worse than previously predicted. </w:t>
      </w:r>
    </w:p>
    <w:p w14:paraId="69307C9D" w14:textId="77777777" w:rsidR="00FA1C1A" w:rsidRPr="00FA1C1A" w:rsidRDefault="00FA1C1A" w:rsidP="00FA1C1A">
      <w:pPr>
        <w:pStyle w:val="NormalWeb"/>
        <w:spacing w:before="120" w:beforeAutospacing="0" w:after="120" w:afterAutospacing="0"/>
        <w:jc w:val="both"/>
        <w:rPr>
          <w:rFonts w:ascii="Arial" w:hAnsi="Arial" w:cs="Arial"/>
          <w:sz w:val="22"/>
          <w:szCs w:val="22"/>
        </w:rPr>
      </w:pPr>
      <w:r w:rsidRPr="00FA1C1A">
        <w:rPr>
          <w:rFonts w:ascii="Arial" w:hAnsi="Arial" w:cs="Arial"/>
          <w:sz w:val="22"/>
          <w:szCs w:val="22"/>
        </w:rPr>
        <w:t>While climate change is a major contributing factor to many of the negative effects mentioned earlier, the situation is made considerably worse by the further negative impacts of inappropriate or bad development, overuse of resources and environmental degradation. The accumulated result of these negative impacts plus the effect of climate change put together is a scenario that some scientists now refer to as the threat of "global change".</w:t>
      </w:r>
    </w:p>
    <w:p w14:paraId="042971D3" w14:textId="77777777" w:rsidR="00FA1C1A" w:rsidRPr="00FA1C1A" w:rsidRDefault="00FA1C1A" w:rsidP="00FA1C1A">
      <w:pPr>
        <w:pStyle w:val="NormalWeb"/>
        <w:spacing w:before="120" w:beforeAutospacing="0" w:after="120" w:afterAutospacing="0"/>
        <w:jc w:val="both"/>
        <w:rPr>
          <w:rFonts w:ascii="Arial" w:hAnsi="Arial" w:cs="Arial"/>
          <w:sz w:val="22"/>
          <w:szCs w:val="22"/>
        </w:rPr>
      </w:pPr>
      <w:r w:rsidRPr="00FA1C1A">
        <w:rPr>
          <w:rFonts w:ascii="Arial" w:hAnsi="Arial" w:cs="Arial"/>
          <w:sz w:val="22"/>
          <w:szCs w:val="22"/>
        </w:rPr>
        <w:lastRenderedPageBreak/>
        <w:t> </w:t>
      </w:r>
    </w:p>
    <w:p w14:paraId="45005683" w14:textId="636ED855" w:rsidR="00FA1C1A" w:rsidRPr="00FA1C1A" w:rsidRDefault="00FA1C1A" w:rsidP="00FA1C1A">
      <w:pPr>
        <w:pStyle w:val="Heading2"/>
        <w:spacing w:before="120" w:after="120"/>
        <w:jc w:val="both"/>
        <w:rPr>
          <w:rFonts w:ascii="Arial" w:hAnsi="Arial" w:cs="Arial"/>
          <w:sz w:val="22"/>
          <w:szCs w:val="22"/>
        </w:rPr>
      </w:pPr>
      <w:r w:rsidRPr="00FA1C1A">
        <w:rPr>
          <w:rStyle w:val="Strong"/>
          <w:rFonts w:ascii="Arial" w:hAnsi="Arial" w:cs="Arial"/>
          <w:b/>
          <w:bCs/>
          <w:sz w:val="22"/>
          <w:szCs w:val="22"/>
        </w:rPr>
        <w:t>What is the affect of Climate Change in South Africa?</w:t>
      </w:r>
    </w:p>
    <w:p w14:paraId="5E58095B" w14:textId="2E6E0E92" w:rsidR="00FA1C1A" w:rsidRPr="00FA1C1A" w:rsidRDefault="00FA1C1A" w:rsidP="00FA1C1A">
      <w:pPr>
        <w:pStyle w:val="NormalWeb"/>
        <w:spacing w:before="120" w:beforeAutospacing="0" w:after="120" w:afterAutospacing="0"/>
        <w:jc w:val="both"/>
        <w:rPr>
          <w:rFonts w:ascii="Arial" w:hAnsi="Arial" w:cs="Arial"/>
          <w:sz w:val="22"/>
          <w:szCs w:val="22"/>
        </w:rPr>
      </w:pPr>
      <w:r w:rsidRPr="00FA1C1A">
        <w:rPr>
          <w:rFonts w:ascii="Arial" w:hAnsi="Arial" w:cs="Arial"/>
          <w:noProof/>
          <w:sz w:val="22"/>
          <w:szCs w:val="22"/>
        </w:rPr>
        <w:drawing>
          <wp:anchor distT="0" distB="0" distL="0" distR="0" simplePos="0" relativeHeight="251665408" behindDoc="0" locked="0" layoutInCell="1" allowOverlap="0" wp14:anchorId="7AFE7E9D" wp14:editId="6DECBE59">
            <wp:simplePos x="0" y="0"/>
            <wp:positionH relativeFrom="margin">
              <wp:align>right</wp:align>
            </wp:positionH>
            <wp:positionV relativeFrom="paragraph">
              <wp:posOffset>7620</wp:posOffset>
            </wp:positionV>
            <wp:extent cx="4286250" cy="2838450"/>
            <wp:effectExtent l="0" t="0" r="0" b="0"/>
            <wp:wrapSquare wrapText="bothSides"/>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7">
                      <a:extLst>
                        <a:ext uri="{28A0092B-C50C-407E-A947-70E740481C1C}">
                          <a14:useLocalDpi xmlns:a14="http://schemas.microsoft.com/office/drawing/2010/main" val="0"/>
                        </a:ext>
                      </a:extLst>
                    </a:blip>
                    <a:srcRect/>
                    <a:stretch>
                      <a:fillRect/>
                    </a:stretch>
                  </pic:blipFill>
                  <pic:spPr bwMode="auto">
                    <a:xfrm>
                      <a:off x="0" y="0"/>
                      <a:ext cx="4286250" cy="28384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FA1C1A">
        <w:rPr>
          <w:rFonts w:ascii="Arial" w:hAnsi="Arial" w:cs="Arial"/>
          <w:sz w:val="22"/>
          <w:szCs w:val="22"/>
        </w:rPr>
        <w:t xml:space="preserve">Climate change is already a measurable reality and along with other developing countries, South Africa is especially vulnerable to its impacts {source - WSouth Africa is expected to become hotter and drier, leading to changes in agricultural production and biodiversity distribution. Even in the eastern part of the country where rainfall is expected to increase, the impact will not necessarily be positive because increased rainfall at inappropriate times could cause exceptionally destructive floods and impacts to natural river courses and human infrastructure. Changes in rainfall will affect food production and may cause increases in diseases. </w:t>
      </w:r>
    </w:p>
    <w:p w14:paraId="726BD7EC" w14:textId="77777777" w:rsidR="00FA1C1A" w:rsidRPr="00FA1C1A" w:rsidRDefault="00FA1C1A" w:rsidP="00FA1C1A">
      <w:pPr>
        <w:pStyle w:val="NormalWeb"/>
        <w:spacing w:before="120" w:beforeAutospacing="0" w:after="120" w:afterAutospacing="0"/>
        <w:jc w:val="both"/>
        <w:rPr>
          <w:rFonts w:ascii="Arial" w:hAnsi="Arial" w:cs="Arial"/>
          <w:sz w:val="22"/>
          <w:szCs w:val="22"/>
        </w:rPr>
      </w:pPr>
      <w:r w:rsidRPr="00FA1C1A">
        <w:rPr>
          <w:rFonts w:ascii="Arial" w:hAnsi="Arial" w:cs="Arial"/>
          <w:sz w:val="22"/>
          <w:szCs w:val="22"/>
        </w:rPr>
        <w:t xml:space="preserve">The impact of drought is most severe in arid regions. In the Suid Bokkeveld region of the Northern Cape, where annual rainfall is about 150â€“400mm, rooibos production declined by 40% in 2004/ 2005 because of prolonged drought. Seedlings struggle to survive and one garden no longer exists. Community adaptation measures include management of aliens to reduce unnecessary water loss, organic farming practices, continued monitoring and data collection, and improved communication between the affected farmers, communities, government, NGOs and research institutes as well as the introduction of sustainable harvesting techniques for wild rooibos, medicinal plants and fuel wood. </w:t>
      </w:r>
    </w:p>
    <w:p w14:paraId="2E478035" w14:textId="77777777" w:rsidR="00FA1C1A" w:rsidRPr="00FA1C1A" w:rsidRDefault="00FA1C1A" w:rsidP="00FA1C1A">
      <w:pPr>
        <w:pStyle w:val="NormalWeb"/>
        <w:spacing w:before="120" w:beforeAutospacing="0" w:after="120" w:afterAutospacing="0"/>
        <w:jc w:val="both"/>
        <w:rPr>
          <w:rFonts w:ascii="Arial" w:hAnsi="Arial" w:cs="Arial"/>
          <w:sz w:val="22"/>
          <w:szCs w:val="22"/>
        </w:rPr>
      </w:pPr>
      <w:r w:rsidRPr="00FA1C1A">
        <w:rPr>
          <w:rFonts w:ascii="Arial" w:hAnsi="Arial" w:cs="Arial"/>
          <w:sz w:val="22"/>
          <w:szCs w:val="22"/>
        </w:rPr>
        <w:t xml:space="preserve">Across South Africa, changes have also been noted in tree cover. Forests are expanding at the expense of grasslands. On a global scale, records show that trees have increased in savannas since the 1950s. It is possible that higher CO2 levels in the atmosphere are responsible for making trees grow faster than they used to. In the Kruger National Park, declines have been noted in roan, sable, eland and tsessebe since the mid-1980s and these populations are expected to decline further over the next 4-6 years. Several factors are considered to be responsible for this. In the mid-1980s, the mean temperature increased by 0.4°C, then during the 1990s the rainfall during the dry period was exceptionally low. This was made worse by the fact that the dry period was particularly prolonged. The resultant change in vegetation created stronger competition with other herbivores and increased exposure to predation. These species are at the edge of their distribution range and it is now being questioned whether their range is shifting to outside park boundaries. In Masai Mara in Kenya, a similar decline was noted in large herbivores. </w:t>
      </w:r>
    </w:p>
    <w:p w14:paraId="080E3452" w14:textId="77777777" w:rsidR="00FA1C1A" w:rsidRPr="00FA1C1A" w:rsidRDefault="00FA1C1A" w:rsidP="00FA1C1A">
      <w:pPr>
        <w:pStyle w:val="NormalWeb"/>
        <w:spacing w:before="120" w:beforeAutospacing="0" w:after="120" w:afterAutospacing="0"/>
        <w:jc w:val="both"/>
        <w:rPr>
          <w:rFonts w:ascii="Arial" w:hAnsi="Arial" w:cs="Arial"/>
          <w:sz w:val="22"/>
          <w:szCs w:val="22"/>
        </w:rPr>
      </w:pPr>
      <w:r w:rsidRPr="00FA1C1A">
        <w:rPr>
          <w:rFonts w:ascii="Arial" w:hAnsi="Arial" w:cs="Arial"/>
          <w:sz w:val="22"/>
          <w:szCs w:val="22"/>
        </w:rPr>
        <w:t xml:space="preserve">Perhaps the most striking sign of climate change in South Africa is seen in the change in distribution of the kokerboom, Aloe dichotoma. It is found in the western parts of South Africa, Namibia and Angola in the succulent karroo, the world's only arid biodiversity hotspot with over 5 000 species. The kokerboom is a long-lived drought-resistant species, but over the past 45 years or so, significant declines have been noted in many old populations, particularly in the warmer parts of its range - mostly at lower altitudes and closer to the equator. There is higher mortality with extreme water stress. At the same time, in the southern part of its range, the plant is increasing in population. The conclusion reached by researchers at the South African Biodiversity Institute is that the kokerboom is shifting its range southwards and that this shift is related to climate change. Other succulent karroo species might be able to ward off extinction by shifting their range as well but in general desert ecosystems are not resilient </w:t>
      </w:r>
      <w:r w:rsidRPr="00FA1C1A">
        <w:rPr>
          <w:rFonts w:ascii="Arial" w:hAnsi="Arial" w:cs="Arial"/>
          <w:sz w:val="22"/>
          <w:szCs w:val="22"/>
        </w:rPr>
        <w:lastRenderedPageBreak/>
        <w:t>to climate change, and species that disperse slowly are not likely to survive. This is particularly worrying in the succulent karroo where 40% of its species are range-restricted endemics.</w:t>
      </w:r>
    </w:p>
    <w:p w14:paraId="41C87BF5" w14:textId="77777777" w:rsidR="00FA1C1A" w:rsidRPr="00FA1C1A" w:rsidRDefault="00FA1C1A" w:rsidP="00FA1C1A">
      <w:pPr>
        <w:pStyle w:val="Heading2"/>
        <w:spacing w:before="120" w:after="120"/>
        <w:jc w:val="both"/>
        <w:rPr>
          <w:rFonts w:ascii="Arial" w:hAnsi="Arial" w:cs="Arial"/>
          <w:sz w:val="22"/>
          <w:szCs w:val="22"/>
        </w:rPr>
      </w:pPr>
      <w:r w:rsidRPr="00FA1C1A">
        <w:rPr>
          <w:rStyle w:val="Strong"/>
          <w:rFonts w:ascii="Arial" w:hAnsi="Arial" w:cs="Arial"/>
          <w:b/>
          <w:bCs/>
          <w:sz w:val="22"/>
          <w:szCs w:val="22"/>
        </w:rPr>
        <w:t>What action is South Africa taking to mitigate Climate Change? </w:t>
      </w:r>
    </w:p>
    <w:p w14:paraId="4348356E" w14:textId="77777777" w:rsidR="00FA1C1A" w:rsidRDefault="00FA1C1A" w:rsidP="00FA1C1A">
      <w:pPr>
        <w:pStyle w:val="NormalWeb"/>
        <w:spacing w:before="120" w:beforeAutospacing="0" w:after="120" w:afterAutospacing="0"/>
        <w:jc w:val="both"/>
      </w:pPr>
      <w:r w:rsidRPr="00FA1C1A">
        <w:rPr>
          <w:rFonts w:ascii="Arial" w:hAnsi="Arial" w:cs="Arial"/>
          <w:sz w:val="22"/>
          <w:szCs w:val="22"/>
        </w:rPr>
        <w:t>South Africa’s response to climate change has two objectives: • Effectively manage inevitable climate change impacts through interventions that build and sustain South Africa’s social, economic and environmental resilience and emergency response capacity. • Make a fair contribution to the global effort to stabilise greenhouse gas (GHG) concentrations in the atmosphere at a level that avoids dangerous anthropogenic interference with the climate system within a timeframe that enables economic, social and environmental development to proceed in a sustainable manner. This response is guided by principles set out in the Constitution, the Bill of Rights, the National Environmental Management Act, the Millennium Declaration and the United Nations Framework Convention on Climate Change. These principles are detailed in section 3. The overall strategic approach for South Africa’s climate change response is needs driven and customised; developmental; transformational, empowering and participatory; dynamic and evidence-based; balanced and cost effective; and integrated and</w:t>
      </w:r>
      <w:r>
        <w:t xml:space="preserve"> aligned. [</w:t>
      </w:r>
      <w:hyperlink r:id="rId258" w:tgtFrame="_blank" w:tooltip="White Paper" w:history="1">
        <w:r>
          <w:rPr>
            <w:rStyle w:val="Hyperlink"/>
            <w:rFonts w:eastAsiaTheme="majorEastAsia"/>
          </w:rPr>
          <w:t>Source: National Climate Change Response White Paper]</w:t>
        </w:r>
      </w:hyperlink>
    </w:p>
    <w:p w14:paraId="11D169C1" w14:textId="4AC7034F" w:rsidR="00FA1C1A" w:rsidRDefault="00FA1C1A" w:rsidP="00FA1C1A">
      <w:pPr>
        <w:spacing w:before="120" w:after="120"/>
        <w:jc w:val="both"/>
        <w:rPr>
          <w:rFonts w:eastAsia="Times New Roman" w:cs="Arial"/>
          <w:lang w:eastAsia="en-ZA"/>
        </w:rPr>
      </w:pPr>
      <w:hyperlink r:id="rId259" w:history="1">
        <w:r w:rsidRPr="005E7EB2">
          <w:rPr>
            <w:rStyle w:val="Hyperlink"/>
            <w:rFonts w:eastAsia="Times New Roman" w:cs="Arial"/>
            <w:lang w:eastAsia="en-ZA"/>
          </w:rPr>
          <w:t>http://www.enviropaedia.com/topic/default.php?topic_id=123</w:t>
        </w:r>
      </w:hyperlink>
    </w:p>
    <w:p w14:paraId="52C3EC7C" w14:textId="7C6459CE" w:rsidR="00FA1C1A" w:rsidRPr="00FA1C1A" w:rsidRDefault="00FA1C1A" w:rsidP="00FA1C1A">
      <w:pPr>
        <w:spacing w:before="120" w:after="120"/>
        <w:jc w:val="both"/>
        <w:rPr>
          <w:rFonts w:eastAsia="Times New Roman" w:cs="Arial"/>
          <w:lang w:eastAsia="en-ZA"/>
        </w:rPr>
      </w:pPr>
    </w:p>
    <w:p w14:paraId="732015D3" w14:textId="77777777" w:rsidR="00FA1C1A" w:rsidRPr="00FA1C1A" w:rsidRDefault="00FA1C1A" w:rsidP="00FA1C1A">
      <w:pPr>
        <w:pStyle w:val="Heading1"/>
        <w:spacing w:before="120" w:after="120"/>
        <w:jc w:val="both"/>
        <w:rPr>
          <w:rFonts w:ascii="Arial" w:hAnsi="Arial" w:cs="Arial"/>
          <w:sz w:val="28"/>
          <w:szCs w:val="28"/>
        </w:rPr>
      </w:pPr>
      <w:r w:rsidRPr="00FA1C1A">
        <w:rPr>
          <w:rStyle w:val="Strong"/>
          <w:rFonts w:ascii="Arial" w:hAnsi="Arial" w:cs="Arial"/>
          <w:b/>
          <w:bCs/>
          <w:sz w:val="28"/>
          <w:szCs w:val="28"/>
        </w:rPr>
        <w:t xml:space="preserve">How droughts will affect South Africa’s broader economy </w:t>
      </w:r>
    </w:p>
    <w:p w14:paraId="30F241A7" w14:textId="77777777" w:rsidR="00FA1C1A" w:rsidRPr="00FA1C1A" w:rsidRDefault="00FA1C1A" w:rsidP="00FA1C1A">
      <w:pPr>
        <w:spacing w:before="120" w:after="120"/>
        <w:jc w:val="both"/>
        <w:rPr>
          <w:rFonts w:cs="Arial"/>
        </w:rPr>
      </w:pPr>
      <w:r w:rsidRPr="00FA1C1A">
        <w:rPr>
          <w:rFonts w:cs="Arial"/>
        </w:rPr>
        <w:t xml:space="preserve">March 6, 2019 4.40pm SAST </w:t>
      </w:r>
    </w:p>
    <w:p w14:paraId="58CD8333" w14:textId="4BEF0234" w:rsidR="00FA1C1A" w:rsidRPr="00FA1C1A" w:rsidRDefault="00FA1C1A" w:rsidP="00FA1C1A">
      <w:pPr>
        <w:pStyle w:val="Heading3"/>
        <w:spacing w:before="120" w:after="120"/>
        <w:jc w:val="both"/>
        <w:rPr>
          <w:rFonts w:ascii="Arial" w:hAnsi="Arial" w:cs="Arial"/>
        </w:rPr>
      </w:pPr>
      <w:r w:rsidRPr="00FA1C1A">
        <w:rPr>
          <w:rFonts w:ascii="Arial" w:hAnsi="Arial" w:cs="Arial"/>
          <w:noProof/>
          <w:color w:val="0000FF"/>
        </w:rPr>
        <w:drawing>
          <wp:anchor distT="0" distB="0" distL="114300" distR="114300" simplePos="0" relativeHeight="251666432" behindDoc="0" locked="0" layoutInCell="1" allowOverlap="1" wp14:anchorId="277A63EF" wp14:editId="6513E3DE">
            <wp:simplePos x="0" y="0"/>
            <wp:positionH relativeFrom="column">
              <wp:posOffset>4099560</wp:posOffset>
            </wp:positionH>
            <wp:positionV relativeFrom="paragraph">
              <wp:posOffset>264160</wp:posOffset>
            </wp:positionV>
            <wp:extent cx="1615440" cy="1615440"/>
            <wp:effectExtent l="0" t="0" r="3810" b="3810"/>
            <wp:wrapSquare wrapText="bothSides"/>
            <wp:docPr id="66" name="Picture 66">
              <a:hlinkClick xmlns:a="http://schemas.openxmlformats.org/drawingml/2006/main" r:id="rId26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a:hlinkClick r:id="rId260"/>
                    </pic:cNvPr>
                    <pic:cNvPicPr>
                      <a:picLocks noChangeAspect="1" noChangeArrowheads="1"/>
                    </pic:cNvPicPr>
                  </pic:nvPicPr>
                  <pic:blipFill>
                    <a:blip r:embed="rId261">
                      <a:extLst>
                        <a:ext uri="{28A0092B-C50C-407E-A947-70E740481C1C}">
                          <a14:useLocalDpi xmlns:a14="http://schemas.microsoft.com/office/drawing/2010/main" val="0"/>
                        </a:ext>
                      </a:extLst>
                    </a:blip>
                    <a:srcRect/>
                    <a:stretch>
                      <a:fillRect/>
                    </a:stretch>
                  </pic:blipFill>
                  <pic:spPr bwMode="auto">
                    <a:xfrm>
                      <a:off x="0" y="0"/>
                      <a:ext cx="1615440" cy="1615440"/>
                    </a:xfrm>
                    <a:prstGeom prst="rect">
                      <a:avLst/>
                    </a:prstGeom>
                    <a:noFill/>
                    <a:ln>
                      <a:noFill/>
                    </a:ln>
                  </pic:spPr>
                </pic:pic>
              </a:graphicData>
            </a:graphic>
            <wp14:sizeRelH relativeFrom="page">
              <wp14:pctWidth>0</wp14:pctWidth>
            </wp14:sizeRelH>
            <wp14:sizeRelV relativeFrom="page">
              <wp14:pctHeight>0</wp14:pctHeight>
            </wp14:sizeRelV>
          </wp:anchor>
        </w:drawing>
      </w:r>
      <w:r w:rsidRPr="00FA1C1A">
        <w:rPr>
          <w:rFonts w:ascii="Arial" w:hAnsi="Arial" w:cs="Arial"/>
        </w:rPr>
        <w:t>Author</w:t>
      </w:r>
    </w:p>
    <w:p w14:paraId="5F2F2C11" w14:textId="0C58F656" w:rsidR="00FA1C1A" w:rsidRPr="00FA1C1A" w:rsidRDefault="00FA1C1A" w:rsidP="00FA1C1A">
      <w:pPr>
        <w:pStyle w:val="vcard"/>
        <w:numPr>
          <w:ilvl w:val="0"/>
          <w:numId w:val="34"/>
        </w:numPr>
        <w:spacing w:before="120" w:beforeAutospacing="0" w:after="120" w:afterAutospacing="0"/>
        <w:jc w:val="both"/>
        <w:rPr>
          <w:rFonts w:ascii="Arial" w:hAnsi="Arial" w:cs="Arial"/>
          <w:sz w:val="22"/>
          <w:szCs w:val="22"/>
        </w:rPr>
      </w:pPr>
      <w:hyperlink r:id="rId262" w:history="1">
        <w:r w:rsidRPr="00FA1C1A">
          <w:rPr>
            <w:rStyle w:val="fn"/>
            <w:rFonts w:ascii="Arial" w:hAnsi="Arial" w:cs="Arial"/>
            <w:color w:val="0000FF"/>
            <w:sz w:val="22"/>
            <w:szCs w:val="22"/>
            <w:u w:val="single"/>
          </w:rPr>
          <w:t xml:space="preserve">Mmatlou Kalaba </w:t>
        </w:r>
      </w:hyperlink>
    </w:p>
    <w:p w14:paraId="2FBA81A3" w14:textId="77777777" w:rsidR="00FA1C1A" w:rsidRPr="00FA1C1A" w:rsidRDefault="00FA1C1A" w:rsidP="00FA1C1A">
      <w:pPr>
        <w:pStyle w:val="role"/>
        <w:spacing w:before="120" w:beforeAutospacing="0" w:after="120" w:afterAutospacing="0"/>
        <w:ind w:left="720"/>
        <w:jc w:val="both"/>
        <w:rPr>
          <w:rFonts w:ascii="Arial" w:hAnsi="Arial" w:cs="Arial"/>
          <w:sz w:val="22"/>
          <w:szCs w:val="22"/>
        </w:rPr>
      </w:pPr>
      <w:r w:rsidRPr="00FA1C1A">
        <w:rPr>
          <w:rFonts w:ascii="Arial" w:hAnsi="Arial" w:cs="Arial"/>
          <w:sz w:val="22"/>
          <w:szCs w:val="22"/>
        </w:rPr>
        <w:t xml:space="preserve">Senior Lecturer in Agricultural Economics, University of Pretoria </w:t>
      </w:r>
    </w:p>
    <w:p w14:paraId="210C0E8D" w14:textId="77777777" w:rsidR="00FA1C1A" w:rsidRPr="00FA1C1A" w:rsidRDefault="00FA1C1A" w:rsidP="00FA1C1A">
      <w:pPr>
        <w:pStyle w:val="Heading3"/>
        <w:spacing w:before="120" w:after="120"/>
        <w:jc w:val="both"/>
        <w:rPr>
          <w:rFonts w:ascii="Arial" w:hAnsi="Arial" w:cs="Arial"/>
        </w:rPr>
      </w:pPr>
      <w:r w:rsidRPr="00FA1C1A">
        <w:rPr>
          <w:rFonts w:ascii="Arial" w:hAnsi="Arial" w:cs="Arial"/>
        </w:rPr>
        <w:t>Disclosure statement</w:t>
      </w:r>
    </w:p>
    <w:p w14:paraId="669703DF" w14:textId="77777777" w:rsidR="00FA1C1A" w:rsidRPr="00FA1C1A" w:rsidRDefault="00FA1C1A" w:rsidP="00FA1C1A">
      <w:pPr>
        <w:pStyle w:val="NormalWeb"/>
        <w:spacing w:before="120" w:beforeAutospacing="0" w:after="120" w:afterAutospacing="0"/>
        <w:jc w:val="both"/>
        <w:rPr>
          <w:rFonts w:ascii="Arial" w:hAnsi="Arial" w:cs="Arial"/>
          <w:sz w:val="22"/>
          <w:szCs w:val="22"/>
        </w:rPr>
      </w:pPr>
      <w:r w:rsidRPr="00FA1C1A">
        <w:rPr>
          <w:rFonts w:ascii="Arial" w:hAnsi="Arial" w:cs="Arial"/>
          <w:sz w:val="22"/>
          <w:szCs w:val="22"/>
        </w:rPr>
        <w:t xml:space="preserve">Mmatlou Kalaba receives funding from National Research Foundation (NRF). He is affiliated with the Bureau for Food and Agricultural Policy (BFAP) and teh Agricultural Economics Association of South Africa (AEASA). </w:t>
      </w:r>
    </w:p>
    <w:p w14:paraId="4A7C7B3F" w14:textId="77777777" w:rsidR="00FA1C1A" w:rsidRPr="00FA1C1A" w:rsidRDefault="00FA1C1A" w:rsidP="00FA1C1A">
      <w:pPr>
        <w:pStyle w:val="Heading3"/>
        <w:spacing w:before="120" w:after="120"/>
        <w:jc w:val="both"/>
        <w:rPr>
          <w:rFonts w:ascii="Arial" w:hAnsi="Arial" w:cs="Arial"/>
        </w:rPr>
      </w:pPr>
      <w:r w:rsidRPr="00FA1C1A">
        <w:rPr>
          <w:rFonts w:ascii="Arial" w:hAnsi="Arial" w:cs="Arial"/>
        </w:rPr>
        <w:t>Partners</w:t>
      </w:r>
    </w:p>
    <w:p w14:paraId="682DED39" w14:textId="77777777" w:rsidR="00FA1C1A" w:rsidRPr="00FA1C1A" w:rsidRDefault="00FA1C1A" w:rsidP="00FA1C1A">
      <w:pPr>
        <w:pStyle w:val="funding-statement"/>
        <w:spacing w:before="120" w:beforeAutospacing="0" w:after="120" w:afterAutospacing="0"/>
        <w:jc w:val="both"/>
        <w:rPr>
          <w:rFonts w:ascii="Arial" w:hAnsi="Arial" w:cs="Arial"/>
          <w:sz w:val="22"/>
          <w:szCs w:val="22"/>
        </w:rPr>
      </w:pPr>
      <w:hyperlink r:id="rId263" w:history="1">
        <w:r w:rsidRPr="00FA1C1A">
          <w:rPr>
            <w:rStyle w:val="Hyperlink"/>
            <w:rFonts w:ascii="Arial" w:hAnsi="Arial" w:cs="Arial"/>
            <w:sz w:val="22"/>
            <w:szCs w:val="22"/>
          </w:rPr>
          <w:t>University of Pretoria</w:t>
        </w:r>
      </w:hyperlink>
      <w:r w:rsidRPr="00FA1C1A">
        <w:rPr>
          <w:rFonts w:ascii="Arial" w:hAnsi="Arial" w:cs="Arial"/>
          <w:sz w:val="22"/>
          <w:szCs w:val="22"/>
        </w:rPr>
        <w:t xml:space="preserve"> provides funding as a partner of The Conversation AFRICA.</w:t>
      </w:r>
    </w:p>
    <w:p w14:paraId="44F29BD1" w14:textId="77777777" w:rsidR="00FA1C1A" w:rsidRPr="00FA1C1A" w:rsidRDefault="00FA1C1A" w:rsidP="00FA1C1A">
      <w:pPr>
        <w:pStyle w:val="NormalWeb"/>
        <w:spacing w:before="120" w:beforeAutospacing="0" w:after="120" w:afterAutospacing="0"/>
        <w:jc w:val="both"/>
        <w:rPr>
          <w:rFonts w:ascii="Arial" w:hAnsi="Arial" w:cs="Arial"/>
          <w:sz w:val="22"/>
          <w:szCs w:val="22"/>
        </w:rPr>
      </w:pPr>
      <w:r w:rsidRPr="00FA1C1A">
        <w:rPr>
          <w:rFonts w:ascii="Arial" w:hAnsi="Arial" w:cs="Arial"/>
          <w:sz w:val="22"/>
          <w:szCs w:val="22"/>
        </w:rPr>
        <w:t xml:space="preserve">The Conversation is funded by the National Research Foundation, eight universities, including the Cape Peninsula University of Technology, Rhodes University, Stellenbosch University and the Universities of Cape Town, Johannesburg, Kwa-Zulu Natal, Pretoria, and South Africa. It is hosted by the Universities of the Witwatersrand and Western Cape, the African Population and Health Research Centre and the Nigerian Academy of Science. The Bill &amp; Melinda Gates Foundation is a Strategic Partner. </w:t>
      </w:r>
      <w:hyperlink r:id="rId264" w:history="1">
        <w:r w:rsidRPr="00FA1C1A">
          <w:rPr>
            <w:rStyle w:val="Hyperlink"/>
            <w:rFonts w:ascii="Arial" w:hAnsi="Arial" w:cs="Arial"/>
            <w:sz w:val="22"/>
            <w:szCs w:val="22"/>
          </w:rPr>
          <w:t>more</w:t>
        </w:r>
      </w:hyperlink>
    </w:p>
    <w:p w14:paraId="6D7C979F" w14:textId="77777777" w:rsidR="00FA1C1A" w:rsidRPr="00FA1C1A" w:rsidRDefault="00FA1C1A" w:rsidP="00FA1C1A">
      <w:pPr>
        <w:pStyle w:val="Heading5"/>
        <w:spacing w:before="120" w:after="120"/>
        <w:jc w:val="both"/>
        <w:rPr>
          <w:rFonts w:ascii="Arial" w:hAnsi="Arial" w:cs="Arial"/>
        </w:rPr>
      </w:pPr>
      <w:r w:rsidRPr="00FA1C1A">
        <w:rPr>
          <w:rFonts w:ascii="Arial" w:hAnsi="Arial" w:cs="Arial"/>
        </w:rPr>
        <w:t>We believe in the free flow of information</w:t>
      </w:r>
    </w:p>
    <w:p w14:paraId="5FD1A140" w14:textId="77777777" w:rsidR="00FA1C1A" w:rsidRPr="00FA1C1A" w:rsidRDefault="00FA1C1A" w:rsidP="00FA1C1A">
      <w:pPr>
        <w:pStyle w:val="Heading6"/>
        <w:spacing w:before="120" w:after="120"/>
        <w:jc w:val="both"/>
        <w:rPr>
          <w:rFonts w:ascii="Arial" w:hAnsi="Arial" w:cs="Arial"/>
        </w:rPr>
      </w:pPr>
      <w:r w:rsidRPr="00FA1C1A">
        <w:rPr>
          <w:rFonts w:ascii="Arial" w:hAnsi="Arial" w:cs="Arial"/>
        </w:rPr>
        <w:t>Republish our articles for free, online or in print, under Creative Commons licence.</w:t>
      </w:r>
    </w:p>
    <w:p w14:paraId="08240313" w14:textId="77777777" w:rsidR="00FA1C1A" w:rsidRPr="00FA1C1A" w:rsidRDefault="00FA1C1A" w:rsidP="00FA1C1A">
      <w:pPr>
        <w:pStyle w:val="email"/>
        <w:numPr>
          <w:ilvl w:val="0"/>
          <w:numId w:val="35"/>
        </w:numPr>
        <w:spacing w:before="120" w:beforeAutospacing="0" w:after="120" w:afterAutospacing="0"/>
        <w:jc w:val="both"/>
        <w:rPr>
          <w:rFonts w:ascii="Arial" w:hAnsi="Arial" w:cs="Arial"/>
          <w:sz w:val="22"/>
          <w:szCs w:val="22"/>
        </w:rPr>
      </w:pPr>
      <w:hyperlink r:id="rId265" w:tgtFrame="_blank" w:history="1">
        <w:r w:rsidRPr="00FA1C1A">
          <w:rPr>
            <w:rStyle w:val="Hyperlink"/>
            <w:rFonts w:ascii="Arial" w:hAnsi="Arial" w:cs="Arial"/>
            <w:sz w:val="22"/>
            <w:szCs w:val="22"/>
          </w:rPr>
          <w:t>Email</w:t>
        </w:r>
      </w:hyperlink>
      <w:r w:rsidRPr="00FA1C1A">
        <w:rPr>
          <w:rFonts w:ascii="Arial" w:hAnsi="Arial" w:cs="Arial"/>
          <w:sz w:val="22"/>
          <w:szCs w:val="22"/>
        </w:rPr>
        <w:t xml:space="preserve"> </w:t>
      </w:r>
    </w:p>
    <w:p w14:paraId="689695D0" w14:textId="77777777" w:rsidR="00FA1C1A" w:rsidRPr="00FA1C1A" w:rsidRDefault="00FA1C1A" w:rsidP="00FA1C1A">
      <w:pPr>
        <w:pStyle w:val="twitter"/>
        <w:numPr>
          <w:ilvl w:val="0"/>
          <w:numId w:val="35"/>
        </w:numPr>
        <w:spacing w:before="120" w:beforeAutospacing="0" w:after="120" w:afterAutospacing="0"/>
        <w:jc w:val="both"/>
        <w:rPr>
          <w:rFonts w:ascii="Arial" w:hAnsi="Arial" w:cs="Arial"/>
          <w:sz w:val="22"/>
          <w:szCs w:val="22"/>
        </w:rPr>
      </w:pPr>
      <w:hyperlink r:id="rId266" w:tgtFrame="_blank" w:history="1">
        <w:r w:rsidRPr="00FA1C1A">
          <w:rPr>
            <w:rStyle w:val="Hyperlink"/>
            <w:rFonts w:ascii="Arial" w:hAnsi="Arial" w:cs="Arial"/>
            <w:sz w:val="22"/>
            <w:szCs w:val="22"/>
          </w:rPr>
          <w:t>Twitter</w:t>
        </w:r>
        <w:r w:rsidRPr="00FA1C1A">
          <w:rPr>
            <w:rStyle w:val="data-count"/>
            <w:rFonts w:ascii="Arial" w:hAnsi="Arial" w:cs="Arial"/>
            <w:color w:val="0000FF"/>
            <w:sz w:val="22"/>
            <w:szCs w:val="22"/>
            <w:u w:val="single"/>
          </w:rPr>
          <w:t>20</w:t>
        </w:r>
      </w:hyperlink>
      <w:r w:rsidRPr="00FA1C1A">
        <w:rPr>
          <w:rFonts w:ascii="Arial" w:hAnsi="Arial" w:cs="Arial"/>
          <w:sz w:val="22"/>
          <w:szCs w:val="22"/>
        </w:rPr>
        <w:t xml:space="preserve"> </w:t>
      </w:r>
    </w:p>
    <w:p w14:paraId="73FE4951" w14:textId="77777777" w:rsidR="00FA1C1A" w:rsidRPr="00FA1C1A" w:rsidRDefault="00FA1C1A" w:rsidP="00FA1C1A">
      <w:pPr>
        <w:pStyle w:val="facebook"/>
        <w:numPr>
          <w:ilvl w:val="0"/>
          <w:numId w:val="35"/>
        </w:numPr>
        <w:spacing w:before="120" w:beforeAutospacing="0" w:after="120" w:afterAutospacing="0"/>
        <w:jc w:val="both"/>
        <w:rPr>
          <w:rFonts w:ascii="Arial" w:hAnsi="Arial" w:cs="Arial"/>
          <w:sz w:val="22"/>
          <w:szCs w:val="22"/>
        </w:rPr>
      </w:pPr>
      <w:hyperlink r:id="rId267" w:tgtFrame="_blank" w:history="1">
        <w:r w:rsidRPr="00FA1C1A">
          <w:rPr>
            <w:rStyle w:val="Hyperlink"/>
            <w:rFonts w:ascii="Arial" w:hAnsi="Arial" w:cs="Arial"/>
            <w:sz w:val="22"/>
            <w:szCs w:val="22"/>
          </w:rPr>
          <w:t>Facebook</w:t>
        </w:r>
        <w:r w:rsidRPr="00FA1C1A">
          <w:rPr>
            <w:rStyle w:val="data-count"/>
            <w:rFonts w:ascii="Arial" w:hAnsi="Arial" w:cs="Arial"/>
            <w:color w:val="0000FF"/>
            <w:sz w:val="22"/>
            <w:szCs w:val="22"/>
            <w:u w:val="single"/>
          </w:rPr>
          <w:t>126</w:t>
        </w:r>
      </w:hyperlink>
      <w:r w:rsidRPr="00FA1C1A">
        <w:rPr>
          <w:rFonts w:ascii="Arial" w:hAnsi="Arial" w:cs="Arial"/>
          <w:sz w:val="22"/>
          <w:szCs w:val="22"/>
        </w:rPr>
        <w:t xml:space="preserve"> </w:t>
      </w:r>
    </w:p>
    <w:p w14:paraId="7D4F92D2" w14:textId="77777777" w:rsidR="00FA1C1A" w:rsidRPr="00FA1C1A" w:rsidRDefault="00FA1C1A" w:rsidP="00FA1C1A">
      <w:pPr>
        <w:pStyle w:val="linkedin"/>
        <w:numPr>
          <w:ilvl w:val="0"/>
          <w:numId w:val="35"/>
        </w:numPr>
        <w:spacing w:before="120" w:beforeAutospacing="0" w:after="120" w:afterAutospacing="0"/>
        <w:jc w:val="both"/>
        <w:rPr>
          <w:rFonts w:ascii="Arial" w:hAnsi="Arial" w:cs="Arial"/>
          <w:sz w:val="22"/>
          <w:szCs w:val="22"/>
        </w:rPr>
      </w:pPr>
      <w:hyperlink r:id="rId268" w:tgtFrame="_blank" w:history="1">
        <w:r w:rsidRPr="00FA1C1A">
          <w:rPr>
            <w:rStyle w:val="Hyperlink"/>
            <w:rFonts w:ascii="Arial" w:hAnsi="Arial" w:cs="Arial"/>
            <w:sz w:val="22"/>
            <w:szCs w:val="22"/>
          </w:rPr>
          <w:t>LinkedIn</w:t>
        </w:r>
      </w:hyperlink>
      <w:r w:rsidRPr="00FA1C1A">
        <w:rPr>
          <w:rFonts w:ascii="Arial" w:hAnsi="Arial" w:cs="Arial"/>
          <w:sz w:val="22"/>
          <w:szCs w:val="22"/>
        </w:rPr>
        <w:t xml:space="preserve"> </w:t>
      </w:r>
    </w:p>
    <w:p w14:paraId="70C07FCB" w14:textId="77777777" w:rsidR="00FA1C1A" w:rsidRPr="00FA1C1A" w:rsidRDefault="00FA1C1A" w:rsidP="00FA1C1A">
      <w:pPr>
        <w:pStyle w:val="print"/>
        <w:numPr>
          <w:ilvl w:val="0"/>
          <w:numId w:val="35"/>
        </w:numPr>
        <w:spacing w:before="120" w:beforeAutospacing="0" w:after="120" w:afterAutospacing="0"/>
        <w:jc w:val="both"/>
        <w:rPr>
          <w:rFonts w:ascii="Arial" w:hAnsi="Arial" w:cs="Arial"/>
          <w:sz w:val="22"/>
          <w:szCs w:val="22"/>
        </w:rPr>
      </w:pPr>
      <w:hyperlink r:id="rId269" w:history="1">
        <w:r w:rsidRPr="00FA1C1A">
          <w:rPr>
            <w:rStyle w:val="Hyperlink"/>
            <w:rFonts w:ascii="Arial" w:hAnsi="Arial" w:cs="Arial"/>
            <w:sz w:val="22"/>
            <w:szCs w:val="22"/>
          </w:rPr>
          <w:t>Print</w:t>
        </w:r>
      </w:hyperlink>
    </w:p>
    <w:p w14:paraId="23F3722E" w14:textId="77777777" w:rsidR="00FA1C1A" w:rsidRPr="00FA1C1A" w:rsidRDefault="00FA1C1A" w:rsidP="00FA1C1A">
      <w:pPr>
        <w:pStyle w:val="NormalWeb"/>
        <w:spacing w:before="120" w:beforeAutospacing="0" w:after="120" w:afterAutospacing="0"/>
        <w:jc w:val="both"/>
        <w:rPr>
          <w:rFonts w:ascii="Arial" w:hAnsi="Arial" w:cs="Arial"/>
          <w:sz w:val="22"/>
          <w:szCs w:val="22"/>
        </w:rPr>
      </w:pPr>
      <w:r w:rsidRPr="00FA1C1A">
        <w:rPr>
          <w:rFonts w:ascii="Arial" w:hAnsi="Arial" w:cs="Arial"/>
          <w:sz w:val="22"/>
          <w:szCs w:val="22"/>
        </w:rPr>
        <w:lastRenderedPageBreak/>
        <w:t xml:space="preserve">Droughts have become more commonplace in South Africa in recent years. </w:t>
      </w:r>
      <w:hyperlink r:id="rId270" w:history="1">
        <w:r w:rsidRPr="00FA1C1A">
          <w:rPr>
            <w:rStyle w:val="Hyperlink"/>
            <w:rFonts w:ascii="Arial" w:hAnsi="Arial" w:cs="Arial"/>
            <w:sz w:val="22"/>
            <w:szCs w:val="22"/>
          </w:rPr>
          <w:t>In the past two decades since 1990,</w:t>
        </w:r>
      </w:hyperlink>
      <w:r w:rsidRPr="00FA1C1A">
        <w:rPr>
          <w:rFonts w:ascii="Arial" w:hAnsi="Arial" w:cs="Arial"/>
          <w:sz w:val="22"/>
          <w:szCs w:val="22"/>
        </w:rPr>
        <w:t xml:space="preserve"> 12 of those years were defined as drier years compared to only seven years in the previous 20 years. </w:t>
      </w:r>
    </w:p>
    <w:p w14:paraId="4D7003AF" w14:textId="77777777" w:rsidR="00FA1C1A" w:rsidRPr="00FA1C1A" w:rsidRDefault="00FA1C1A" w:rsidP="00FA1C1A">
      <w:pPr>
        <w:pStyle w:val="NormalWeb"/>
        <w:spacing w:before="120" w:beforeAutospacing="0" w:after="120" w:afterAutospacing="0"/>
        <w:jc w:val="both"/>
        <w:rPr>
          <w:rFonts w:ascii="Arial" w:hAnsi="Arial" w:cs="Arial"/>
          <w:sz w:val="22"/>
          <w:szCs w:val="22"/>
        </w:rPr>
      </w:pPr>
      <w:r w:rsidRPr="00FA1C1A">
        <w:rPr>
          <w:rFonts w:ascii="Arial" w:hAnsi="Arial" w:cs="Arial"/>
          <w:sz w:val="22"/>
          <w:szCs w:val="22"/>
        </w:rPr>
        <w:t>The latest period included three consecutive years of drier conditions, between 2014 to 2016. In some regions, such as the Western Cape, the country’s second largest province in terms of economic contribution, the drought continued into 2017.</w:t>
      </w:r>
    </w:p>
    <w:p w14:paraId="5D4A3A85" w14:textId="77777777" w:rsidR="00FA1C1A" w:rsidRPr="00FA1C1A" w:rsidRDefault="00FA1C1A" w:rsidP="00FA1C1A">
      <w:pPr>
        <w:pStyle w:val="NormalWeb"/>
        <w:spacing w:before="120" w:beforeAutospacing="0" w:after="120" w:afterAutospacing="0"/>
        <w:jc w:val="both"/>
        <w:rPr>
          <w:rFonts w:ascii="Arial" w:hAnsi="Arial" w:cs="Arial"/>
          <w:sz w:val="22"/>
          <w:szCs w:val="22"/>
        </w:rPr>
      </w:pPr>
      <w:r w:rsidRPr="00FA1C1A">
        <w:rPr>
          <w:rFonts w:ascii="Arial" w:hAnsi="Arial" w:cs="Arial"/>
          <w:sz w:val="22"/>
          <w:szCs w:val="22"/>
        </w:rPr>
        <w:t xml:space="preserve">These droughts are associated with </w:t>
      </w:r>
      <w:hyperlink r:id="rId271" w:history="1">
        <w:r w:rsidRPr="00FA1C1A">
          <w:rPr>
            <w:rStyle w:val="Hyperlink"/>
            <w:rFonts w:ascii="Arial" w:hAnsi="Arial" w:cs="Arial"/>
            <w:sz w:val="22"/>
            <w:szCs w:val="22"/>
          </w:rPr>
          <w:t>climate change</w:t>
        </w:r>
      </w:hyperlink>
      <w:r w:rsidRPr="00FA1C1A">
        <w:rPr>
          <w:rFonts w:ascii="Arial" w:hAnsi="Arial" w:cs="Arial"/>
          <w:sz w:val="22"/>
          <w:szCs w:val="22"/>
        </w:rPr>
        <w:t xml:space="preserve"> – </w:t>
      </w:r>
      <w:hyperlink r:id="rId272" w:history="1">
        <w:r w:rsidRPr="00FA1C1A">
          <w:rPr>
            <w:rStyle w:val="Hyperlink"/>
            <w:rFonts w:ascii="Arial" w:hAnsi="Arial" w:cs="Arial"/>
            <w:sz w:val="22"/>
            <w:szCs w:val="22"/>
          </w:rPr>
          <w:t>the effect of human behaviour</w:t>
        </w:r>
      </w:hyperlink>
      <w:r w:rsidRPr="00FA1C1A">
        <w:rPr>
          <w:rFonts w:ascii="Arial" w:hAnsi="Arial" w:cs="Arial"/>
          <w:sz w:val="22"/>
          <w:szCs w:val="22"/>
        </w:rPr>
        <w:t xml:space="preserve"> on the planet’s temperature. </w:t>
      </w:r>
    </w:p>
    <w:p w14:paraId="03B3FA61" w14:textId="77777777" w:rsidR="00FA1C1A" w:rsidRPr="00FA1C1A" w:rsidRDefault="00FA1C1A" w:rsidP="00FA1C1A">
      <w:pPr>
        <w:pStyle w:val="NormalWeb"/>
        <w:spacing w:before="120" w:beforeAutospacing="0" w:after="120" w:afterAutospacing="0"/>
        <w:jc w:val="both"/>
        <w:rPr>
          <w:rFonts w:ascii="Arial" w:hAnsi="Arial" w:cs="Arial"/>
          <w:sz w:val="22"/>
          <w:szCs w:val="22"/>
        </w:rPr>
      </w:pPr>
      <w:r w:rsidRPr="00FA1C1A">
        <w:rPr>
          <w:rFonts w:ascii="Arial" w:hAnsi="Arial" w:cs="Arial"/>
          <w:sz w:val="22"/>
          <w:szCs w:val="22"/>
        </w:rPr>
        <w:t xml:space="preserve">Over the past two years the Western Cape was forced to set </w:t>
      </w:r>
      <w:hyperlink r:id="rId273" w:history="1">
        <w:r w:rsidRPr="00FA1C1A">
          <w:rPr>
            <w:rStyle w:val="Hyperlink"/>
            <w:rFonts w:ascii="Arial" w:hAnsi="Arial" w:cs="Arial"/>
            <w:sz w:val="22"/>
            <w:szCs w:val="22"/>
          </w:rPr>
          <w:t>strict water restrictions</w:t>
        </w:r>
      </w:hyperlink>
      <w:r w:rsidRPr="00FA1C1A">
        <w:rPr>
          <w:rFonts w:ascii="Arial" w:hAnsi="Arial" w:cs="Arial"/>
          <w:sz w:val="22"/>
          <w:szCs w:val="22"/>
        </w:rPr>
        <w:t xml:space="preserve"> – including curbs on irrigation – as dam levels dropped to below 20%. This had a direct effect on agriculture and food production, as well as ripple effects across the country. </w:t>
      </w:r>
    </w:p>
    <w:p w14:paraId="2A990A98" w14:textId="77777777" w:rsidR="00FA1C1A" w:rsidRPr="00FA1C1A" w:rsidRDefault="00FA1C1A" w:rsidP="00FA1C1A">
      <w:pPr>
        <w:pStyle w:val="Heading5"/>
        <w:spacing w:before="120" w:after="120"/>
        <w:jc w:val="both"/>
        <w:rPr>
          <w:rFonts w:ascii="Arial" w:hAnsi="Arial" w:cs="Arial"/>
        </w:rPr>
      </w:pPr>
      <w:r w:rsidRPr="00FA1C1A">
        <w:rPr>
          <w:rFonts w:ascii="Arial" w:hAnsi="Arial" w:cs="Arial"/>
        </w:rPr>
        <w:t xml:space="preserve">Get news that’s free, independent and based on evidence. </w:t>
      </w:r>
    </w:p>
    <w:p w14:paraId="4C383B44" w14:textId="77777777" w:rsidR="00FA1C1A" w:rsidRPr="00FA1C1A" w:rsidRDefault="00FA1C1A" w:rsidP="00FA1C1A">
      <w:pPr>
        <w:pStyle w:val="NormalWeb"/>
        <w:spacing w:before="120" w:beforeAutospacing="0" w:after="120" w:afterAutospacing="0"/>
        <w:jc w:val="both"/>
        <w:rPr>
          <w:rFonts w:ascii="Arial" w:hAnsi="Arial" w:cs="Arial"/>
          <w:sz w:val="22"/>
          <w:szCs w:val="22"/>
        </w:rPr>
      </w:pPr>
      <w:r w:rsidRPr="00FA1C1A">
        <w:rPr>
          <w:rFonts w:ascii="Arial" w:hAnsi="Arial" w:cs="Arial"/>
          <w:sz w:val="22"/>
          <w:szCs w:val="22"/>
        </w:rPr>
        <w:t xml:space="preserve">In the province more than </w:t>
      </w:r>
      <w:hyperlink r:id="rId274" w:history="1">
        <w:r w:rsidRPr="00FA1C1A">
          <w:rPr>
            <w:rStyle w:val="Hyperlink"/>
            <w:rFonts w:ascii="Arial" w:hAnsi="Arial" w:cs="Arial"/>
            <w:sz w:val="22"/>
            <w:szCs w:val="22"/>
          </w:rPr>
          <w:t>R5 billion</w:t>
        </w:r>
      </w:hyperlink>
      <w:r w:rsidRPr="00FA1C1A">
        <w:rPr>
          <w:rFonts w:ascii="Arial" w:hAnsi="Arial" w:cs="Arial"/>
          <w:sz w:val="22"/>
          <w:szCs w:val="22"/>
        </w:rPr>
        <w:t xml:space="preserve"> was lost to the economy, largely due to the drought. This matters for the country as a whole because the Western Cape contributes </w:t>
      </w:r>
      <w:hyperlink r:id="rId275" w:history="1">
        <w:r w:rsidRPr="00FA1C1A">
          <w:rPr>
            <w:rStyle w:val="Hyperlink"/>
            <w:rFonts w:ascii="Arial" w:hAnsi="Arial" w:cs="Arial"/>
            <w:sz w:val="22"/>
            <w:szCs w:val="22"/>
          </w:rPr>
          <w:t>22% to national agricultural GDP</w:t>
        </w:r>
      </w:hyperlink>
      <w:r w:rsidRPr="00FA1C1A">
        <w:rPr>
          <w:rFonts w:ascii="Arial" w:hAnsi="Arial" w:cs="Arial"/>
          <w:sz w:val="22"/>
          <w:szCs w:val="22"/>
        </w:rPr>
        <w:t xml:space="preserve">. And the deciduous fruit and wine industries, and increasingly the citrus industry, are key exports and contribute significantly to South Africa’s </w:t>
      </w:r>
      <w:hyperlink r:id="rId276" w:history="1">
        <w:r w:rsidRPr="00FA1C1A">
          <w:rPr>
            <w:rStyle w:val="Hyperlink"/>
            <w:rFonts w:ascii="Arial" w:hAnsi="Arial" w:cs="Arial"/>
            <w:sz w:val="22"/>
            <w:szCs w:val="22"/>
          </w:rPr>
          <w:t>overall agri-economy</w:t>
        </w:r>
      </w:hyperlink>
      <w:r w:rsidRPr="00FA1C1A">
        <w:rPr>
          <w:rFonts w:ascii="Arial" w:hAnsi="Arial" w:cs="Arial"/>
          <w:sz w:val="22"/>
          <w:szCs w:val="22"/>
        </w:rPr>
        <w:t>.</w:t>
      </w:r>
    </w:p>
    <w:p w14:paraId="24467593" w14:textId="77777777" w:rsidR="00FA1C1A" w:rsidRPr="00FA1C1A" w:rsidRDefault="00FA1C1A" w:rsidP="00FA1C1A">
      <w:pPr>
        <w:pStyle w:val="NormalWeb"/>
        <w:spacing w:before="120" w:beforeAutospacing="0" w:after="120" w:afterAutospacing="0"/>
        <w:jc w:val="both"/>
        <w:rPr>
          <w:rFonts w:ascii="Arial" w:hAnsi="Arial" w:cs="Arial"/>
          <w:sz w:val="22"/>
          <w:szCs w:val="22"/>
        </w:rPr>
      </w:pPr>
      <w:r w:rsidRPr="00FA1C1A">
        <w:rPr>
          <w:rFonts w:ascii="Arial" w:hAnsi="Arial" w:cs="Arial"/>
          <w:sz w:val="22"/>
          <w:szCs w:val="22"/>
        </w:rPr>
        <w:t xml:space="preserve">The economic implications of all of these outcomes are dire. From 2015 to 2017 South Africa’s economic grew by a mere 1.1% average per annum, with the </w:t>
      </w:r>
      <w:hyperlink r:id="rId277" w:history="1">
        <w:r w:rsidRPr="00FA1C1A">
          <w:rPr>
            <w:rStyle w:val="Hyperlink"/>
            <w:rFonts w:ascii="Arial" w:hAnsi="Arial" w:cs="Arial"/>
            <w:sz w:val="22"/>
            <w:szCs w:val="22"/>
          </w:rPr>
          <w:t>agricultural sector</w:t>
        </w:r>
      </w:hyperlink>
      <w:r w:rsidRPr="00FA1C1A">
        <w:rPr>
          <w:rFonts w:ascii="Arial" w:hAnsi="Arial" w:cs="Arial"/>
          <w:sz w:val="22"/>
          <w:szCs w:val="22"/>
        </w:rPr>
        <w:t xml:space="preserve"> growing at a rate of less than 0.5%. That’s not enough to make a dent on the country’s biggest challenges, which include high rates of inequality, poverty as well as unemployment. </w:t>
      </w:r>
    </w:p>
    <w:p w14:paraId="3E194206" w14:textId="77777777" w:rsidR="00FA1C1A" w:rsidRPr="00FA1C1A" w:rsidRDefault="00FA1C1A" w:rsidP="00FA1C1A">
      <w:pPr>
        <w:pStyle w:val="Heading2"/>
        <w:spacing w:before="120" w:after="120"/>
        <w:jc w:val="both"/>
        <w:rPr>
          <w:rFonts w:ascii="Arial" w:hAnsi="Arial" w:cs="Arial"/>
          <w:sz w:val="22"/>
          <w:szCs w:val="22"/>
        </w:rPr>
      </w:pPr>
      <w:r w:rsidRPr="00FA1C1A">
        <w:rPr>
          <w:rFonts w:ascii="Arial" w:hAnsi="Arial" w:cs="Arial"/>
          <w:sz w:val="22"/>
          <w:szCs w:val="22"/>
        </w:rPr>
        <w:t>Western Cape as a case study</w:t>
      </w:r>
    </w:p>
    <w:p w14:paraId="6A06ADCE" w14:textId="77777777" w:rsidR="00FA1C1A" w:rsidRPr="00FA1C1A" w:rsidRDefault="00FA1C1A" w:rsidP="00FA1C1A">
      <w:pPr>
        <w:pStyle w:val="NormalWeb"/>
        <w:spacing w:before="120" w:beforeAutospacing="0" w:after="120" w:afterAutospacing="0"/>
        <w:jc w:val="both"/>
        <w:rPr>
          <w:rFonts w:ascii="Arial" w:hAnsi="Arial" w:cs="Arial"/>
          <w:sz w:val="22"/>
          <w:szCs w:val="22"/>
        </w:rPr>
      </w:pPr>
      <w:r w:rsidRPr="00FA1C1A">
        <w:rPr>
          <w:rStyle w:val="Strong"/>
          <w:rFonts w:ascii="Arial" w:hAnsi="Arial" w:cs="Arial"/>
          <w:sz w:val="22"/>
          <w:szCs w:val="22"/>
        </w:rPr>
        <w:t>Tourism sector:</w:t>
      </w:r>
      <w:r w:rsidRPr="00FA1C1A">
        <w:rPr>
          <w:rFonts w:ascii="Arial" w:hAnsi="Arial" w:cs="Arial"/>
          <w:sz w:val="22"/>
          <w:szCs w:val="22"/>
        </w:rPr>
        <w:t xml:space="preserve"> The drought negatively affected the province’s tourism sector. Even though the impact hasn’t been quantified, the number of tourists visiting the province </w:t>
      </w:r>
      <w:hyperlink r:id="rId278" w:history="1">
        <w:r w:rsidRPr="00FA1C1A">
          <w:rPr>
            <w:rStyle w:val="Hyperlink"/>
            <w:rFonts w:ascii="Arial" w:hAnsi="Arial" w:cs="Arial"/>
            <w:sz w:val="22"/>
            <w:szCs w:val="22"/>
          </w:rPr>
          <w:t>went down during the drought period</w:t>
        </w:r>
      </w:hyperlink>
      <w:r w:rsidRPr="00FA1C1A">
        <w:rPr>
          <w:rFonts w:ascii="Arial" w:hAnsi="Arial" w:cs="Arial"/>
          <w:sz w:val="22"/>
          <w:szCs w:val="22"/>
        </w:rPr>
        <w:t xml:space="preserve">. This was also reflected in the fact that year-on-year overnight guests in the region grew at a mere 1% from 2016 to 2017, compared with 7% a year earlier. Some hotels had bookings declining by between 10% and 15% in 2018, compared to 2017. </w:t>
      </w:r>
    </w:p>
    <w:p w14:paraId="1D469892" w14:textId="77777777" w:rsidR="00FA1C1A" w:rsidRPr="00FA1C1A" w:rsidRDefault="00FA1C1A" w:rsidP="00FA1C1A">
      <w:pPr>
        <w:pStyle w:val="NormalWeb"/>
        <w:spacing w:before="120" w:beforeAutospacing="0" w:after="120" w:afterAutospacing="0"/>
        <w:jc w:val="both"/>
        <w:rPr>
          <w:rFonts w:ascii="Arial" w:hAnsi="Arial" w:cs="Arial"/>
          <w:sz w:val="22"/>
          <w:szCs w:val="22"/>
        </w:rPr>
      </w:pPr>
      <w:r w:rsidRPr="00FA1C1A">
        <w:rPr>
          <w:rFonts w:ascii="Arial" w:hAnsi="Arial" w:cs="Arial"/>
          <w:sz w:val="22"/>
          <w:szCs w:val="22"/>
        </w:rPr>
        <w:t xml:space="preserve">Tourism in Western Cape is estimated to employ about </w:t>
      </w:r>
      <w:hyperlink r:id="rId279" w:history="1">
        <w:r w:rsidRPr="00FA1C1A">
          <w:rPr>
            <w:rStyle w:val="Hyperlink"/>
            <w:rFonts w:ascii="Arial" w:hAnsi="Arial" w:cs="Arial"/>
            <w:sz w:val="22"/>
            <w:szCs w:val="22"/>
          </w:rPr>
          <w:t>300 000 people</w:t>
        </w:r>
      </w:hyperlink>
      <w:r w:rsidRPr="00FA1C1A">
        <w:rPr>
          <w:rFonts w:ascii="Arial" w:hAnsi="Arial" w:cs="Arial"/>
          <w:sz w:val="22"/>
          <w:szCs w:val="22"/>
        </w:rPr>
        <w:t>.</w:t>
      </w:r>
    </w:p>
    <w:p w14:paraId="3857DF9F" w14:textId="77777777" w:rsidR="00FA1C1A" w:rsidRPr="00FA1C1A" w:rsidRDefault="00FA1C1A" w:rsidP="00FA1C1A">
      <w:pPr>
        <w:pStyle w:val="NormalWeb"/>
        <w:spacing w:before="120" w:beforeAutospacing="0" w:after="120" w:afterAutospacing="0"/>
        <w:jc w:val="both"/>
        <w:rPr>
          <w:rFonts w:ascii="Arial" w:hAnsi="Arial" w:cs="Arial"/>
          <w:sz w:val="22"/>
          <w:szCs w:val="22"/>
        </w:rPr>
      </w:pPr>
      <w:r w:rsidRPr="00FA1C1A">
        <w:rPr>
          <w:rStyle w:val="Strong"/>
          <w:rFonts w:ascii="Arial" w:hAnsi="Arial" w:cs="Arial"/>
          <w:sz w:val="22"/>
          <w:szCs w:val="22"/>
        </w:rPr>
        <w:t>Food prices:</w:t>
      </w:r>
      <w:r w:rsidRPr="00FA1C1A">
        <w:rPr>
          <w:rFonts w:ascii="Arial" w:hAnsi="Arial" w:cs="Arial"/>
          <w:sz w:val="22"/>
          <w:szCs w:val="22"/>
        </w:rPr>
        <w:t xml:space="preserve"> the impact of drought on food prices was severe with staple food items such as maize increasing. This affected mostly poor households which spend relatively large portions of their income on food – as much as </w:t>
      </w:r>
      <w:hyperlink r:id="rId280" w:history="1">
        <w:r w:rsidRPr="00FA1C1A">
          <w:rPr>
            <w:rStyle w:val="Hyperlink"/>
            <w:rFonts w:ascii="Arial" w:hAnsi="Arial" w:cs="Arial"/>
            <w:sz w:val="22"/>
            <w:szCs w:val="22"/>
          </w:rPr>
          <w:t>34% of their total income</w:t>
        </w:r>
      </w:hyperlink>
      <w:r w:rsidRPr="00FA1C1A">
        <w:rPr>
          <w:rFonts w:ascii="Arial" w:hAnsi="Arial" w:cs="Arial"/>
          <w:sz w:val="22"/>
          <w:szCs w:val="22"/>
        </w:rPr>
        <w:t xml:space="preserve">. </w:t>
      </w:r>
    </w:p>
    <w:p w14:paraId="1E2AB4A6" w14:textId="77777777" w:rsidR="00FA1C1A" w:rsidRPr="00FA1C1A" w:rsidRDefault="00FA1C1A" w:rsidP="00FA1C1A">
      <w:pPr>
        <w:pStyle w:val="NormalWeb"/>
        <w:spacing w:before="120" w:beforeAutospacing="0" w:after="120" w:afterAutospacing="0"/>
        <w:jc w:val="both"/>
        <w:rPr>
          <w:rFonts w:ascii="Arial" w:hAnsi="Arial" w:cs="Arial"/>
          <w:sz w:val="22"/>
          <w:szCs w:val="22"/>
        </w:rPr>
      </w:pPr>
      <w:r w:rsidRPr="00FA1C1A">
        <w:rPr>
          <w:rFonts w:ascii="Arial" w:hAnsi="Arial" w:cs="Arial"/>
          <w:sz w:val="22"/>
          <w:szCs w:val="22"/>
        </w:rPr>
        <w:t xml:space="preserve">Also, lower agricultural production has affected food supplies. This in turn could increase food prices and food insecurity. </w:t>
      </w:r>
    </w:p>
    <w:p w14:paraId="67610EA2" w14:textId="77777777" w:rsidR="00FA1C1A" w:rsidRPr="00FA1C1A" w:rsidRDefault="00FA1C1A" w:rsidP="00FA1C1A">
      <w:pPr>
        <w:pStyle w:val="NormalWeb"/>
        <w:spacing w:before="120" w:beforeAutospacing="0" w:after="120" w:afterAutospacing="0"/>
        <w:jc w:val="both"/>
        <w:rPr>
          <w:rFonts w:ascii="Arial" w:hAnsi="Arial" w:cs="Arial"/>
          <w:sz w:val="22"/>
          <w:szCs w:val="22"/>
        </w:rPr>
      </w:pPr>
      <w:r w:rsidRPr="00FA1C1A">
        <w:rPr>
          <w:rStyle w:val="Strong"/>
          <w:rFonts w:ascii="Arial" w:hAnsi="Arial" w:cs="Arial"/>
          <w:sz w:val="22"/>
          <w:szCs w:val="22"/>
        </w:rPr>
        <w:t>Jobs:</w:t>
      </w:r>
      <w:r w:rsidRPr="00FA1C1A">
        <w:rPr>
          <w:rFonts w:ascii="Arial" w:hAnsi="Arial" w:cs="Arial"/>
          <w:sz w:val="22"/>
          <w:szCs w:val="22"/>
        </w:rPr>
        <w:t xml:space="preserve"> The Western Cape has the biggest agricultural workforce in South Africa – nearly a </w:t>
      </w:r>
      <w:hyperlink r:id="rId281" w:history="1">
        <w:r w:rsidRPr="00FA1C1A">
          <w:rPr>
            <w:rStyle w:val="Hyperlink"/>
            <w:rFonts w:ascii="Arial" w:hAnsi="Arial" w:cs="Arial"/>
            <w:sz w:val="22"/>
            <w:szCs w:val="22"/>
          </w:rPr>
          <w:t>quarter of the country’s</w:t>
        </w:r>
      </w:hyperlink>
      <w:r w:rsidRPr="00FA1C1A">
        <w:rPr>
          <w:rFonts w:ascii="Arial" w:hAnsi="Arial" w:cs="Arial"/>
          <w:sz w:val="22"/>
          <w:szCs w:val="22"/>
        </w:rPr>
        <w:t xml:space="preserve"> farm workers are employed in the region. And agriculture and agro-processing are responsible for </w:t>
      </w:r>
      <w:hyperlink r:id="rId282" w:history="1">
        <w:r w:rsidRPr="00FA1C1A">
          <w:rPr>
            <w:rStyle w:val="Hyperlink"/>
            <w:rFonts w:ascii="Arial" w:hAnsi="Arial" w:cs="Arial"/>
            <w:sz w:val="22"/>
            <w:szCs w:val="22"/>
          </w:rPr>
          <w:t>18% of employment opportunities</w:t>
        </w:r>
      </w:hyperlink>
      <w:r w:rsidRPr="00FA1C1A">
        <w:rPr>
          <w:rFonts w:ascii="Arial" w:hAnsi="Arial" w:cs="Arial"/>
          <w:sz w:val="22"/>
          <w:szCs w:val="22"/>
        </w:rPr>
        <w:t xml:space="preserve"> in the province.</w:t>
      </w:r>
    </w:p>
    <w:p w14:paraId="117B3DE3" w14:textId="77777777" w:rsidR="00FA1C1A" w:rsidRPr="00FA1C1A" w:rsidRDefault="00FA1C1A" w:rsidP="00FA1C1A">
      <w:pPr>
        <w:pStyle w:val="NormalWeb"/>
        <w:spacing w:before="120" w:beforeAutospacing="0" w:after="120" w:afterAutospacing="0"/>
        <w:jc w:val="both"/>
        <w:rPr>
          <w:rFonts w:ascii="Arial" w:hAnsi="Arial" w:cs="Arial"/>
          <w:sz w:val="22"/>
          <w:szCs w:val="22"/>
        </w:rPr>
      </w:pPr>
      <w:r w:rsidRPr="00FA1C1A">
        <w:rPr>
          <w:rFonts w:ascii="Arial" w:hAnsi="Arial" w:cs="Arial"/>
          <w:sz w:val="22"/>
          <w:szCs w:val="22"/>
        </w:rPr>
        <w:t xml:space="preserve">The drought has led to job losses in the province’s agriculture sector. The 2017 </w:t>
      </w:r>
      <w:hyperlink r:id="rId283" w:history="1">
        <w:r w:rsidRPr="00FA1C1A">
          <w:rPr>
            <w:rStyle w:val="Hyperlink"/>
            <w:rFonts w:ascii="Arial" w:hAnsi="Arial" w:cs="Arial"/>
            <w:sz w:val="22"/>
            <w:szCs w:val="22"/>
          </w:rPr>
          <w:t>third quarterly labour force survey</w:t>
        </w:r>
      </w:hyperlink>
      <w:r w:rsidRPr="00FA1C1A">
        <w:rPr>
          <w:rFonts w:ascii="Arial" w:hAnsi="Arial" w:cs="Arial"/>
          <w:sz w:val="22"/>
          <w:szCs w:val="22"/>
        </w:rPr>
        <w:t xml:space="preserve"> showed that approximately 25,000 jobs were lost from the agricultural sector nationally. More </w:t>
      </w:r>
      <w:hyperlink r:id="rId284" w:history="1">
        <w:r w:rsidRPr="00FA1C1A">
          <w:rPr>
            <w:rStyle w:val="Hyperlink"/>
            <w:rFonts w:ascii="Arial" w:hAnsi="Arial" w:cs="Arial"/>
            <w:sz w:val="22"/>
            <w:szCs w:val="22"/>
          </w:rPr>
          <w:t>than 20 000 of these were</w:t>
        </w:r>
      </w:hyperlink>
      <w:r w:rsidRPr="00FA1C1A">
        <w:rPr>
          <w:rFonts w:ascii="Arial" w:hAnsi="Arial" w:cs="Arial"/>
          <w:sz w:val="22"/>
          <w:szCs w:val="22"/>
        </w:rPr>
        <w:t xml:space="preserve"> lost in the Western Cape province. Many were associated with the drought.</w:t>
      </w:r>
    </w:p>
    <w:p w14:paraId="4001E98F" w14:textId="77777777" w:rsidR="00FA1C1A" w:rsidRPr="00FA1C1A" w:rsidRDefault="00FA1C1A" w:rsidP="00FA1C1A">
      <w:pPr>
        <w:pStyle w:val="NormalWeb"/>
        <w:spacing w:before="120" w:beforeAutospacing="0" w:after="120" w:afterAutospacing="0"/>
        <w:jc w:val="both"/>
        <w:rPr>
          <w:rFonts w:ascii="Arial" w:hAnsi="Arial" w:cs="Arial"/>
          <w:sz w:val="22"/>
          <w:szCs w:val="22"/>
        </w:rPr>
      </w:pPr>
      <w:r w:rsidRPr="00FA1C1A">
        <w:rPr>
          <w:rFonts w:ascii="Arial" w:hAnsi="Arial" w:cs="Arial"/>
          <w:sz w:val="22"/>
          <w:szCs w:val="22"/>
        </w:rPr>
        <w:t xml:space="preserve">Most farm workers are unlikely to get jobs elsewhere, which means that job losses will worsen poverty. </w:t>
      </w:r>
    </w:p>
    <w:p w14:paraId="2469E05A" w14:textId="77777777" w:rsidR="00FA1C1A" w:rsidRPr="00FA1C1A" w:rsidRDefault="00FA1C1A" w:rsidP="00FA1C1A">
      <w:pPr>
        <w:pStyle w:val="Heading2"/>
        <w:spacing w:before="120" w:after="120"/>
        <w:jc w:val="both"/>
        <w:rPr>
          <w:rFonts w:ascii="Arial" w:hAnsi="Arial" w:cs="Arial"/>
          <w:sz w:val="22"/>
          <w:szCs w:val="22"/>
        </w:rPr>
      </w:pPr>
      <w:r w:rsidRPr="00FA1C1A">
        <w:rPr>
          <w:rFonts w:ascii="Arial" w:hAnsi="Arial" w:cs="Arial"/>
          <w:sz w:val="22"/>
          <w:szCs w:val="22"/>
        </w:rPr>
        <w:t>Impact on the fiscus</w:t>
      </w:r>
    </w:p>
    <w:p w14:paraId="0CD0A887" w14:textId="77777777" w:rsidR="00FA1C1A" w:rsidRPr="00FA1C1A" w:rsidRDefault="00FA1C1A" w:rsidP="00FA1C1A">
      <w:pPr>
        <w:pStyle w:val="NormalWeb"/>
        <w:spacing w:before="120" w:beforeAutospacing="0" w:after="120" w:afterAutospacing="0"/>
        <w:jc w:val="both"/>
        <w:rPr>
          <w:rFonts w:ascii="Arial" w:hAnsi="Arial" w:cs="Arial"/>
          <w:sz w:val="22"/>
          <w:szCs w:val="22"/>
        </w:rPr>
      </w:pPr>
      <w:r w:rsidRPr="00FA1C1A">
        <w:rPr>
          <w:rFonts w:ascii="Arial" w:hAnsi="Arial" w:cs="Arial"/>
          <w:sz w:val="22"/>
          <w:szCs w:val="22"/>
        </w:rPr>
        <w:t>If the pattern of drought continues, it’s likely to affect the country’s financial standing too. This is for a number of reasons.</w:t>
      </w:r>
    </w:p>
    <w:p w14:paraId="3BDDEFA0" w14:textId="77777777" w:rsidR="00FA1C1A" w:rsidRPr="00FA1C1A" w:rsidRDefault="00FA1C1A" w:rsidP="00FA1C1A">
      <w:pPr>
        <w:pStyle w:val="NormalWeb"/>
        <w:spacing w:before="120" w:beforeAutospacing="0" w:after="120" w:afterAutospacing="0"/>
        <w:jc w:val="both"/>
        <w:rPr>
          <w:rFonts w:ascii="Arial" w:hAnsi="Arial" w:cs="Arial"/>
          <w:sz w:val="22"/>
          <w:szCs w:val="22"/>
        </w:rPr>
      </w:pPr>
      <w:r w:rsidRPr="00FA1C1A">
        <w:rPr>
          <w:rFonts w:ascii="Arial" w:hAnsi="Arial" w:cs="Arial"/>
          <w:sz w:val="22"/>
          <w:szCs w:val="22"/>
        </w:rPr>
        <w:t xml:space="preserve">Firstly, the National Treasury will have to continue spending money on disaster relief, as opposed to other economic activities. This year, for example, the South African government may need close </w:t>
      </w:r>
      <w:hyperlink r:id="rId285" w:history="1">
        <w:r w:rsidRPr="00FA1C1A">
          <w:rPr>
            <w:rStyle w:val="Hyperlink"/>
            <w:rFonts w:ascii="Arial" w:hAnsi="Arial" w:cs="Arial"/>
            <w:sz w:val="22"/>
            <w:szCs w:val="22"/>
          </w:rPr>
          <w:t>to R3 billion sought by farmers</w:t>
        </w:r>
      </w:hyperlink>
      <w:r w:rsidRPr="00FA1C1A">
        <w:rPr>
          <w:rFonts w:ascii="Arial" w:hAnsi="Arial" w:cs="Arial"/>
          <w:sz w:val="22"/>
          <w:szCs w:val="22"/>
        </w:rPr>
        <w:t xml:space="preserve"> severely affected by the drought. </w:t>
      </w:r>
    </w:p>
    <w:p w14:paraId="4C3EA9E3" w14:textId="77777777" w:rsidR="00FA1C1A" w:rsidRPr="00FA1C1A" w:rsidRDefault="00FA1C1A" w:rsidP="00FA1C1A">
      <w:pPr>
        <w:pStyle w:val="NormalWeb"/>
        <w:spacing w:before="120" w:beforeAutospacing="0" w:after="120" w:afterAutospacing="0"/>
        <w:jc w:val="both"/>
        <w:rPr>
          <w:rFonts w:ascii="Arial" w:hAnsi="Arial" w:cs="Arial"/>
          <w:sz w:val="22"/>
          <w:szCs w:val="22"/>
        </w:rPr>
      </w:pPr>
      <w:r w:rsidRPr="00FA1C1A">
        <w:rPr>
          <w:rFonts w:ascii="Arial" w:hAnsi="Arial" w:cs="Arial"/>
          <w:sz w:val="22"/>
          <w:szCs w:val="22"/>
        </w:rPr>
        <w:lastRenderedPageBreak/>
        <w:t xml:space="preserve">Future assistance could be in the form of helping build infrastructure like boreholes and supporting farmers who need to reduce stock. </w:t>
      </w:r>
    </w:p>
    <w:p w14:paraId="1B083E5C" w14:textId="77777777" w:rsidR="00FA1C1A" w:rsidRPr="00FA1C1A" w:rsidRDefault="00FA1C1A" w:rsidP="00FA1C1A">
      <w:pPr>
        <w:pStyle w:val="NormalWeb"/>
        <w:spacing w:before="120" w:beforeAutospacing="0" w:after="120" w:afterAutospacing="0"/>
        <w:jc w:val="both"/>
        <w:rPr>
          <w:rFonts w:ascii="Arial" w:hAnsi="Arial" w:cs="Arial"/>
          <w:sz w:val="22"/>
          <w:szCs w:val="22"/>
        </w:rPr>
      </w:pPr>
      <w:r w:rsidRPr="00FA1C1A">
        <w:rPr>
          <w:rFonts w:ascii="Arial" w:hAnsi="Arial" w:cs="Arial"/>
          <w:sz w:val="22"/>
          <w:szCs w:val="22"/>
        </w:rPr>
        <w:t xml:space="preserve">Secondly, continuing droughts could force up the country’s import bill. Declining agricultural production could lead to shortages of some food items like maize, wheat and some protein sources such as meat and eggs. This could, in turn, force South Africa to import more. </w:t>
      </w:r>
    </w:p>
    <w:p w14:paraId="264D218C" w14:textId="77777777" w:rsidR="00FA1C1A" w:rsidRPr="00FA1C1A" w:rsidRDefault="00FA1C1A" w:rsidP="00FA1C1A">
      <w:pPr>
        <w:pStyle w:val="NormalWeb"/>
        <w:spacing w:before="120" w:beforeAutospacing="0" w:after="120" w:afterAutospacing="0"/>
        <w:jc w:val="both"/>
        <w:rPr>
          <w:rFonts w:ascii="Arial" w:hAnsi="Arial" w:cs="Arial"/>
          <w:sz w:val="22"/>
          <w:szCs w:val="22"/>
        </w:rPr>
      </w:pPr>
      <w:r w:rsidRPr="00FA1C1A">
        <w:rPr>
          <w:rFonts w:ascii="Arial" w:hAnsi="Arial" w:cs="Arial"/>
          <w:sz w:val="22"/>
          <w:szCs w:val="22"/>
        </w:rPr>
        <w:t xml:space="preserve">Thirdly, a shortage of local produce could push up prices. This could affect food inflation and push up the consumer price index. Given that the South African Reserve Bank uses interest rates to control </w:t>
      </w:r>
      <w:hyperlink r:id="rId286" w:history="1">
        <w:r w:rsidRPr="00FA1C1A">
          <w:rPr>
            <w:rStyle w:val="Hyperlink"/>
            <w:rFonts w:ascii="Arial" w:hAnsi="Arial" w:cs="Arial"/>
            <w:sz w:val="22"/>
            <w:szCs w:val="22"/>
          </w:rPr>
          <w:t>inflation</w:t>
        </w:r>
      </w:hyperlink>
      <w:r w:rsidRPr="00FA1C1A">
        <w:rPr>
          <w:rFonts w:ascii="Arial" w:hAnsi="Arial" w:cs="Arial"/>
          <w:sz w:val="22"/>
          <w:szCs w:val="22"/>
        </w:rPr>
        <w:t>, this could lead to higher interest rates which will affect the broader economy.</w:t>
      </w:r>
    </w:p>
    <w:p w14:paraId="780CAE54" w14:textId="77777777" w:rsidR="00FA1C1A" w:rsidRPr="00FA1C1A" w:rsidRDefault="00FA1C1A" w:rsidP="00FA1C1A">
      <w:pPr>
        <w:pStyle w:val="Heading2"/>
        <w:spacing w:before="120" w:after="120"/>
        <w:jc w:val="both"/>
        <w:rPr>
          <w:rFonts w:ascii="Arial" w:hAnsi="Arial" w:cs="Arial"/>
          <w:sz w:val="22"/>
          <w:szCs w:val="22"/>
        </w:rPr>
      </w:pPr>
      <w:r w:rsidRPr="00FA1C1A">
        <w:rPr>
          <w:rFonts w:ascii="Arial" w:hAnsi="Arial" w:cs="Arial"/>
          <w:sz w:val="22"/>
          <w:szCs w:val="22"/>
        </w:rPr>
        <w:t>Climate change a reality</w:t>
      </w:r>
    </w:p>
    <w:p w14:paraId="1988CEBE" w14:textId="77777777" w:rsidR="00FA1C1A" w:rsidRPr="00FA1C1A" w:rsidRDefault="00FA1C1A" w:rsidP="00FA1C1A">
      <w:pPr>
        <w:pStyle w:val="NormalWeb"/>
        <w:spacing w:before="120" w:beforeAutospacing="0" w:after="120" w:afterAutospacing="0"/>
        <w:jc w:val="both"/>
        <w:rPr>
          <w:rFonts w:ascii="Arial" w:hAnsi="Arial" w:cs="Arial"/>
          <w:sz w:val="22"/>
          <w:szCs w:val="22"/>
        </w:rPr>
      </w:pPr>
      <w:r w:rsidRPr="00FA1C1A">
        <w:rPr>
          <w:rFonts w:ascii="Arial" w:hAnsi="Arial" w:cs="Arial"/>
          <w:sz w:val="22"/>
          <w:szCs w:val="22"/>
        </w:rPr>
        <w:t>Climate change poses a threat to everyone. Governments, farmers and society in general need to take proactive steps to deal with the outcomes of changing weather patterns.</w:t>
      </w:r>
    </w:p>
    <w:p w14:paraId="30701D2D" w14:textId="77777777" w:rsidR="00FA1C1A" w:rsidRPr="00FA1C1A" w:rsidRDefault="00FA1C1A" w:rsidP="00FA1C1A">
      <w:pPr>
        <w:pStyle w:val="NormalWeb"/>
        <w:spacing w:before="120" w:beforeAutospacing="0" w:after="120" w:afterAutospacing="0"/>
        <w:jc w:val="both"/>
        <w:rPr>
          <w:rFonts w:ascii="Arial" w:hAnsi="Arial" w:cs="Arial"/>
          <w:sz w:val="22"/>
          <w:szCs w:val="22"/>
        </w:rPr>
      </w:pPr>
      <w:r w:rsidRPr="00FA1C1A">
        <w:rPr>
          <w:rFonts w:ascii="Arial" w:hAnsi="Arial" w:cs="Arial"/>
          <w:sz w:val="22"/>
          <w:szCs w:val="22"/>
        </w:rPr>
        <w:t xml:space="preserve">Over time, agricultural production will need to adapt to new methods and approaches. These may include the use of drought-resistant seed varieties, modern technologies to adapt and taking up more crop insurance. These approaches are readily available to farmers who have the resources. It’s the developing, smallholder and emerging farmers that remain at risk. </w:t>
      </w:r>
    </w:p>
    <w:p w14:paraId="581C0C21" w14:textId="77777777" w:rsidR="00FA1C1A" w:rsidRPr="00FA1C1A" w:rsidRDefault="00FA1C1A" w:rsidP="00FA1C1A">
      <w:pPr>
        <w:pStyle w:val="NormalWeb"/>
        <w:spacing w:before="120" w:beforeAutospacing="0" w:after="120" w:afterAutospacing="0"/>
        <w:jc w:val="both"/>
        <w:rPr>
          <w:rFonts w:ascii="Arial" w:hAnsi="Arial" w:cs="Arial"/>
          <w:sz w:val="22"/>
          <w:szCs w:val="22"/>
        </w:rPr>
      </w:pPr>
      <w:r w:rsidRPr="00FA1C1A">
        <w:rPr>
          <w:rFonts w:ascii="Arial" w:hAnsi="Arial" w:cs="Arial"/>
          <w:sz w:val="22"/>
          <w:szCs w:val="22"/>
        </w:rPr>
        <w:t xml:space="preserve">Governments can assist farmers by providing infrastructure support making new laws that support the conservation of resources. And government can provide financial support for the development of new technologies as well as seed varieties that are adaptable and can withstand severe weather patterns. </w:t>
      </w:r>
    </w:p>
    <w:p w14:paraId="470A4473" w14:textId="4B177FC0" w:rsidR="00FA1C1A" w:rsidRDefault="00FA1C1A" w:rsidP="00FA1C1A">
      <w:pPr>
        <w:pStyle w:val="NormalWeb"/>
        <w:spacing w:before="120" w:beforeAutospacing="0" w:after="120" w:afterAutospacing="0"/>
        <w:jc w:val="both"/>
        <w:rPr>
          <w:rFonts w:ascii="Arial" w:hAnsi="Arial" w:cs="Arial"/>
          <w:sz w:val="22"/>
          <w:szCs w:val="22"/>
        </w:rPr>
      </w:pPr>
      <w:r w:rsidRPr="00FA1C1A">
        <w:rPr>
          <w:rFonts w:ascii="Arial" w:hAnsi="Arial" w:cs="Arial"/>
          <w:sz w:val="22"/>
          <w:szCs w:val="22"/>
        </w:rPr>
        <w:t>This requires better planning. In addition, government must work closely with the agricultural sector.</w:t>
      </w:r>
    </w:p>
    <w:p w14:paraId="5F8CD82B" w14:textId="77777777" w:rsidR="00FA1C1A" w:rsidRPr="00FA1C1A" w:rsidRDefault="00FA1C1A" w:rsidP="00FA1C1A">
      <w:pPr>
        <w:pStyle w:val="NormalWeb"/>
        <w:spacing w:before="120" w:beforeAutospacing="0" w:after="120" w:afterAutospacing="0"/>
        <w:jc w:val="both"/>
        <w:rPr>
          <w:rFonts w:ascii="Arial" w:hAnsi="Arial" w:cs="Arial"/>
          <w:sz w:val="22"/>
          <w:szCs w:val="22"/>
        </w:rPr>
      </w:pPr>
    </w:p>
    <w:p w14:paraId="30D61EE9" w14:textId="5907FD0C" w:rsidR="00FA1C1A" w:rsidRDefault="00FA1C1A" w:rsidP="00FA1C1A">
      <w:pPr>
        <w:spacing w:before="120" w:after="120"/>
        <w:jc w:val="both"/>
        <w:rPr>
          <w:rFonts w:eastAsia="Times New Roman" w:cs="Arial"/>
          <w:lang w:eastAsia="en-ZA"/>
        </w:rPr>
      </w:pPr>
      <w:hyperlink r:id="rId287" w:history="1">
        <w:r w:rsidRPr="005E7EB2">
          <w:rPr>
            <w:rStyle w:val="Hyperlink"/>
            <w:rFonts w:eastAsia="Times New Roman" w:cs="Arial"/>
            <w:lang w:eastAsia="en-ZA"/>
          </w:rPr>
          <w:t>https://theconversation.com/how-droughts-will-affect-south-africas-broader-economy-111378</w:t>
        </w:r>
      </w:hyperlink>
    </w:p>
    <w:p w14:paraId="4BC24047" w14:textId="77777777" w:rsidR="00FA1C1A" w:rsidRPr="00FA1C1A" w:rsidRDefault="00FA1C1A" w:rsidP="00FA1C1A">
      <w:pPr>
        <w:spacing w:before="120" w:after="120"/>
        <w:jc w:val="both"/>
        <w:rPr>
          <w:rFonts w:eastAsia="Times New Roman" w:cs="Arial"/>
          <w:lang w:eastAsia="en-ZA"/>
        </w:rPr>
      </w:pPr>
    </w:p>
    <w:p w14:paraId="3D048D50" w14:textId="77777777" w:rsidR="00FA1C1A" w:rsidRPr="00FA1C1A" w:rsidRDefault="00FA1C1A" w:rsidP="00FA1C1A">
      <w:pPr>
        <w:spacing w:before="120" w:after="120"/>
        <w:jc w:val="both"/>
        <w:rPr>
          <w:rFonts w:eastAsia="Times New Roman" w:cs="Arial"/>
          <w:lang w:eastAsia="en-ZA"/>
        </w:rPr>
      </w:pPr>
    </w:p>
    <w:p w14:paraId="1F0D5579" w14:textId="77777777" w:rsidR="00FA1C1A" w:rsidRPr="00FA1C1A" w:rsidRDefault="00FA1C1A" w:rsidP="00FA1C1A">
      <w:pPr>
        <w:pStyle w:val="rteleft"/>
        <w:spacing w:before="120" w:beforeAutospacing="0" w:after="120" w:afterAutospacing="0"/>
        <w:jc w:val="both"/>
        <w:rPr>
          <w:rFonts w:ascii="Arial" w:hAnsi="Arial" w:cs="Arial"/>
          <w:sz w:val="22"/>
          <w:szCs w:val="22"/>
        </w:rPr>
      </w:pPr>
    </w:p>
    <w:p w14:paraId="59D5C728" w14:textId="56E4F963" w:rsidR="00E4567F" w:rsidRDefault="00FA1C1A" w:rsidP="00FA1C1A">
      <w:pPr>
        <w:spacing w:before="120" w:after="120"/>
        <w:jc w:val="both"/>
        <w:rPr>
          <w:rFonts w:eastAsia="Times New Roman" w:cs="Arial"/>
          <w:color w:val="2A2A2A"/>
          <w:lang w:eastAsia="en-ZA"/>
        </w:rPr>
      </w:pPr>
      <w:r>
        <w:t> </w:t>
      </w:r>
    </w:p>
    <w:sectPr w:rsidR="00E4567F" w:rsidSect="00FA1C1A">
      <w:pgSz w:w="11906" w:h="16838"/>
      <w:pgMar w:top="1440" w:right="1440" w:bottom="851"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Cambria Math">
    <w:panose1 w:val="02040503050406030204"/>
    <w:charset w:val="00"/>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FE2BB1"/>
    <w:multiLevelType w:val="multilevel"/>
    <w:tmpl w:val="B79092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ED238AD"/>
    <w:multiLevelType w:val="multilevel"/>
    <w:tmpl w:val="135E7E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119A6E84"/>
    <w:multiLevelType w:val="multilevel"/>
    <w:tmpl w:val="1BACFE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125B7285"/>
    <w:multiLevelType w:val="multilevel"/>
    <w:tmpl w:val="2BF0E3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33D3C26"/>
    <w:multiLevelType w:val="multilevel"/>
    <w:tmpl w:val="714859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8581B16"/>
    <w:multiLevelType w:val="multilevel"/>
    <w:tmpl w:val="8EDC2B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88A146E"/>
    <w:multiLevelType w:val="multilevel"/>
    <w:tmpl w:val="0B703E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1AC11287"/>
    <w:multiLevelType w:val="multilevel"/>
    <w:tmpl w:val="012432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22ED1FD8"/>
    <w:multiLevelType w:val="multilevel"/>
    <w:tmpl w:val="40822A18"/>
    <w:lvl w:ilvl="0">
      <w:start w:val="1"/>
      <w:numFmt w:val="bullet"/>
      <w:lvlText w:val=""/>
      <w:lvlJc w:val="left"/>
      <w:pPr>
        <w:tabs>
          <w:tab w:val="num" w:pos="720"/>
        </w:tabs>
        <w:ind w:left="720" w:hanging="360"/>
      </w:pPr>
      <w:rPr>
        <w:rFonts w:ascii="Symbol" w:hAnsi="Symbol" w:hint="default"/>
        <w:sz w:val="20"/>
      </w:rPr>
    </w:lvl>
    <w:lvl w:ilvl="1">
      <w:numFmt w:val="bullet"/>
      <w:lvlText w:val="•"/>
      <w:lvlJc w:val="left"/>
      <w:pPr>
        <w:ind w:left="1440" w:hanging="360"/>
      </w:pPr>
      <w:rPr>
        <w:rFonts w:ascii="Arial" w:eastAsia="Times New Roman" w:hAnsi="Arial" w:cs="Arial"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25C40FA6"/>
    <w:multiLevelType w:val="multilevel"/>
    <w:tmpl w:val="EABE0D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2A4F4E76"/>
    <w:multiLevelType w:val="multilevel"/>
    <w:tmpl w:val="B3F0A8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2D281F71"/>
    <w:multiLevelType w:val="multilevel"/>
    <w:tmpl w:val="B04CEC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2F2A21C4"/>
    <w:multiLevelType w:val="multilevel"/>
    <w:tmpl w:val="17321D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30AC7D46"/>
    <w:multiLevelType w:val="multilevel"/>
    <w:tmpl w:val="6E1CA0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31141BC1"/>
    <w:multiLevelType w:val="multilevel"/>
    <w:tmpl w:val="C4DA95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32C03096"/>
    <w:multiLevelType w:val="multilevel"/>
    <w:tmpl w:val="468863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39B21022"/>
    <w:multiLevelType w:val="multilevel"/>
    <w:tmpl w:val="156888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39DF53BC"/>
    <w:multiLevelType w:val="multilevel"/>
    <w:tmpl w:val="4D5417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3AAA422C"/>
    <w:multiLevelType w:val="multilevel"/>
    <w:tmpl w:val="911687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45075714"/>
    <w:multiLevelType w:val="hybridMultilevel"/>
    <w:tmpl w:val="11FADF70"/>
    <w:lvl w:ilvl="0" w:tplc="C3869F92">
      <w:numFmt w:val="bullet"/>
      <w:lvlText w:val=""/>
      <w:lvlJc w:val="left"/>
      <w:pPr>
        <w:ind w:left="720" w:hanging="360"/>
      </w:pPr>
      <w:rPr>
        <w:rFonts w:ascii="Symbol" w:hAnsi="Symbol" w:cs="Symbol" w:hint="default"/>
        <w:color w:val="auto"/>
        <w:w w:val="100"/>
        <w:sz w:val="22"/>
        <w:szCs w:val="22"/>
      </w:rPr>
    </w:lvl>
    <w:lvl w:ilvl="1" w:tplc="C3869F92">
      <w:numFmt w:val="bullet"/>
      <w:lvlText w:val=""/>
      <w:lvlJc w:val="left"/>
      <w:pPr>
        <w:ind w:left="1440" w:hanging="360"/>
      </w:pPr>
      <w:rPr>
        <w:rFonts w:ascii="Symbol" w:hAnsi="Symbol" w:cs="Symbol" w:hint="default"/>
        <w:color w:val="auto"/>
        <w:w w:val="100"/>
        <w:sz w:val="22"/>
        <w:szCs w:val="22"/>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0" w15:restartNumberingAfterBreak="0">
    <w:nsid w:val="454D6338"/>
    <w:multiLevelType w:val="multilevel"/>
    <w:tmpl w:val="62E686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495C1648"/>
    <w:multiLevelType w:val="multilevel"/>
    <w:tmpl w:val="FF2829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589A4F75"/>
    <w:multiLevelType w:val="multilevel"/>
    <w:tmpl w:val="21B483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5FA763B4"/>
    <w:multiLevelType w:val="multilevel"/>
    <w:tmpl w:val="999C978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15:restartNumberingAfterBreak="0">
    <w:nsid w:val="60A85923"/>
    <w:multiLevelType w:val="multilevel"/>
    <w:tmpl w:val="9CEEE3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69F6404D"/>
    <w:multiLevelType w:val="multilevel"/>
    <w:tmpl w:val="27A8B4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6C6D4DAA"/>
    <w:multiLevelType w:val="hybridMultilevel"/>
    <w:tmpl w:val="730C0F2A"/>
    <w:lvl w:ilvl="0" w:tplc="C3869F92">
      <w:numFmt w:val="bullet"/>
      <w:lvlText w:val=""/>
      <w:lvlJc w:val="left"/>
      <w:pPr>
        <w:ind w:left="720" w:hanging="360"/>
      </w:pPr>
      <w:rPr>
        <w:rFonts w:ascii="Symbol" w:hAnsi="Symbol" w:cs="Symbol" w:hint="default"/>
        <w:color w:val="auto"/>
        <w:w w:val="100"/>
        <w:sz w:val="22"/>
        <w:szCs w:val="22"/>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7" w15:restartNumberingAfterBreak="0">
    <w:nsid w:val="70622E13"/>
    <w:multiLevelType w:val="multilevel"/>
    <w:tmpl w:val="810886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75A8053F"/>
    <w:multiLevelType w:val="multilevel"/>
    <w:tmpl w:val="D7824C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765E4397"/>
    <w:multiLevelType w:val="multilevel"/>
    <w:tmpl w:val="9410BC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76F26A1C"/>
    <w:multiLevelType w:val="multilevel"/>
    <w:tmpl w:val="278CAE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77735115"/>
    <w:multiLevelType w:val="hybridMultilevel"/>
    <w:tmpl w:val="9D22AB2C"/>
    <w:lvl w:ilvl="0" w:tplc="C3869F92">
      <w:numFmt w:val="bullet"/>
      <w:lvlText w:val=""/>
      <w:lvlJc w:val="left"/>
      <w:pPr>
        <w:ind w:left="720" w:hanging="360"/>
      </w:pPr>
      <w:rPr>
        <w:rFonts w:ascii="Symbol" w:hAnsi="Symbol" w:cs="Symbol" w:hint="default"/>
        <w:color w:val="auto"/>
        <w:w w:val="100"/>
        <w:sz w:val="22"/>
        <w:szCs w:val="22"/>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32" w15:restartNumberingAfterBreak="0">
    <w:nsid w:val="7A2F2628"/>
    <w:multiLevelType w:val="multilevel"/>
    <w:tmpl w:val="F4B451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7D0F6943"/>
    <w:multiLevelType w:val="hybridMultilevel"/>
    <w:tmpl w:val="E22EB554"/>
    <w:lvl w:ilvl="0" w:tplc="C3869F92">
      <w:numFmt w:val="bullet"/>
      <w:lvlText w:val=""/>
      <w:lvlJc w:val="left"/>
      <w:pPr>
        <w:ind w:left="720" w:hanging="360"/>
      </w:pPr>
      <w:rPr>
        <w:rFonts w:ascii="Symbol" w:hAnsi="Symbol" w:cs="Symbol" w:hint="default"/>
        <w:color w:val="auto"/>
        <w:w w:val="100"/>
        <w:sz w:val="22"/>
        <w:szCs w:val="22"/>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34" w15:restartNumberingAfterBreak="0">
    <w:nsid w:val="7EF43C1C"/>
    <w:multiLevelType w:val="hybridMultilevel"/>
    <w:tmpl w:val="A1FE09BA"/>
    <w:lvl w:ilvl="0" w:tplc="C3869F92">
      <w:numFmt w:val="bullet"/>
      <w:lvlText w:val=""/>
      <w:lvlJc w:val="left"/>
      <w:pPr>
        <w:ind w:left="720" w:hanging="360"/>
      </w:pPr>
      <w:rPr>
        <w:rFonts w:ascii="Symbol" w:hAnsi="Symbol" w:cs="Symbol" w:hint="default"/>
        <w:color w:val="auto"/>
        <w:w w:val="100"/>
        <w:sz w:val="22"/>
        <w:szCs w:val="22"/>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num w:numId="1">
    <w:abstractNumId w:val="10"/>
  </w:num>
  <w:num w:numId="2">
    <w:abstractNumId w:val="4"/>
  </w:num>
  <w:num w:numId="3">
    <w:abstractNumId w:val="24"/>
  </w:num>
  <w:num w:numId="4">
    <w:abstractNumId w:val="17"/>
  </w:num>
  <w:num w:numId="5">
    <w:abstractNumId w:val="21"/>
  </w:num>
  <w:num w:numId="6">
    <w:abstractNumId w:val="15"/>
  </w:num>
  <w:num w:numId="7">
    <w:abstractNumId w:val="3"/>
  </w:num>
  <w:num w:numId="8">
    <w:abstractNumId w:val="9"/>
  </w:num>
  <w:num w:numId="9">
    <w:abstractNumId w:val="18"/>
  </w:num>
  <w:num w:numId="10">
    <w:abstractNumId w:val="25"/>
  </w:num>
  <w:num w:numId="11">
    <w:abstractNumId w:val="20"/>
  </w:num>
  <w:num w:numId="12">
    <w:abstractNumId w:val="6"/>
  </w:num>
  <w:num w:numId="13">
    <w:abstractNumId w:val="27"/>
  </w:num>
  <w:num w:numId="14">
    <w:abstractNumId w:val="29"/>
  </w:num>
  <w:num w:numId="15">
    <w:abstractNumId w:val="22"/>
  </w:num>
  <w:num w:numId="16">
    <w:abstractNumId w:val="11"/>
  </w:num>
  <w:num w:numId="17">
    <w:abstractNumId w:val="32"/>
  </w:num>
  <w:num w:numId="18">
    <w:abstractNumId w:val="8"/>
  </w:num>
  <w:num w:numId="19">
    <w:abstractNumId w:val="7"/>
  </w:num>
  <w:num w:numId="20">
    <w:abstractNumId w:val="12"/>
  </w:num>
  <w:num w:numId="21">
    <w:abstractNumId w:val="16"/>
  </w:num>
  <w:num w:numId="22">
    <w:abstractNumId w:val="19"/>
  </w:num>
  <w:num w:numId="23">
    <w:abstractNumId w:val="2"/>
  </w:num>
  <w:num w:numId="24">
    <w:abstractNumId w:val="34"/>
  </w:num>
  <w:num w:numId="25">
    <w:abstractNumId w:val="26"/>
  </w:num>
  <w:num w:numId="26">
    <w:abstractNumId w:val="31"/>
  </w:num>
  <w:num w:numId="27">
    <w:abstractNumId w:val="33"/>
  </w:num>
  <w:num w:numId="28">
    <w:abstractNumId w:val="13"/>
  </w:num>
  <w:num w:numId="29">
    <w:abstractNumId w:val="28"/>
  </w:num>
  <w:num w:numId="30">
    <w:abstractNumId w:val="5"/>
  </w:num>
  <w:num w:numId="31">
    <w:abstractNumId w:val="30"/>
  </w:num>
  <w:num w:numId="32">
    <w:abstractNumId w:val="14"/>
  </w:num>
  <w:num w:numId="33">
    <w:abstractNumId w:val="0"/>
  </w:num>
  <w:num w:numId="34">
    <w:abstractNumId w:val="23"/>
  </w:num>
  <w:num w:numId="3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hideSpellingErrors/>
  <w:hideGrammaticalErrors/>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MDI3NjUzsDSwMDa2tDBT0lEKTi0uzszPAykwqgUAY33BfywAAAA="/>
  </w:docVars>
  <w:rsids>
    <w:rsidRoot w:val="00E4567F"/>
    <w:rsid w:val="0026368D"/>
    <w:rsid w:val="003B37F5"/>
    <w:rsid w:val="009A5295"/>
    <w:rsid w:val="00DC380B"/>
    <w:rsid w:val="00DC6F48"/>
    <w:rsid w:val="00E3174C"/>
    <w:rsid w:val="00E4567F"/>
    <w:rsid w:val="00E93CDE"/>
    <w:rsid w:val="00FA1C1A"/>
  </w:rsids>
  <m:mathPr>
    <m:mathFont m:val="Cambria Math"/>
    <m:brkBin m:val="before"/>
    <m:brkBinSub m:val="--"/>
    <m:smallFrac m:val="0"/>
    <m:dispDef/>
    <m:lMargin m:val="0"/>
    <m:rMargin m:val="0"/>
    <m:defJc m:val="centerGroup"/>
    <m:wrapIndent m:val="1440"/>
    <m:intLim m:val="subSup"/>
    <m:naryLim m:val="undOvr"/>
  </m:mathPr>
  <w:themeFontLang w:val="en-Z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91034C2"/>
  <w15:chartTrackingRefBased/>
  <w15:docId w15:val="{0C87512F-B1F3-4C2D-BFD6-FCD03FCCE88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Arial" w:eastAsiaTheme="minorHAnsi" w:hAnsi="Arial" w:cstheme="minorBidi"/>
        <w:sz w:val="22"/>
        <w:szCs w:val="22"/>
        <w:lang w:val="en-ZA"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B37F5"/>
  </w:style>
  <w:style w:type="paragraph" w:styleId="Heading1">
    <w:name w:val="heading 1"/>
    <w:basedOn w:val="Normal"/>
    <w:next w:val="Normal"/>
    <w:link w:val="Heading1Char"/>
    <w:uiPriority w:val="9"/>
    <w:qFormat/>
    <w:rsid w:val="003B37F5"/>
    <w:pPr>
      <w:keepNext/>
      <w:keepLines/>
      <w:jc w:val="center"/>
      <w:outlineLvl w:val="0"/>
    </w:pPr>
    <w:rPr>
      <w:rFonts w:asciiTheme="majorHAnsi" w:eastAsiaTheme="majorEastAsia" w:hAnsiTheme="majorHAnsi" w:cstheme="majorBidi"/>
      <w:b/>
      <w:bCs/>
      <w:i/>
      <w:color w:val="000000" w:themeColor="text1"/>
      <w:sz w:val="52"/>
      <w:szCs w:val="52"/>
      <w:lang w:eastAsia="en-ZA"/>
    </w:rPr>
  </w:style>
  <w:style w:type="paragraph" w:styleId="Heading2">
    <w:name w:val="heading 2"/>
    <w:basedOn w:val="Normal"/>
    <w:next w:val="Normal"/>
    <w:link w:val="Heading2Char"/>
    <w:uiPriority w:val="9"/>
    <w:unhideWhenUsed/>
    <w:qFormat/>
    <w:rsid w:val="003B37F5"/>
    <w:pPr>
      <w:keepNext/>
      <w:keepLines/>
      <w:jc w:val="center"/>
      <w:outlineLvl w:val="1"/>
    </w:pPr>
    <w:rPr>
      <w:rFonts w:ascii="Calibri" w:eastAsia="Times New Roman" w:hAnsi="Calibri" w:cs="Times New Roman"/>
      <w:b/>
      <w:bCs/>
      <w:i/>
      <w:color w:val="000000"/>
      <w:sz w:val="44"/>
      <w:szCs w:val="44"/>
      <w:lang w:eastAsia="en-ZA"/>
    </w:rPr>
  </w:style>
  <w:style w:type="paragraph" w:styleId="Heading3">
    <w:name w:val="heading 3"/>
    <w:basedOn w:val="Normal"/>
    <w:next w:val="Normal"/>
    <w:link w:val="Heading3Char"/>
    <w:uiPriority w:val="9"/>
    <w:unhideWhenUsed/>
    <w:qFormat/>
    <w:rsid w:val="003B37F5"/>
    <w:pPr>
      <w:keepNext/>
      <w:keepLines/>
      <w:spacing w:before="200" w:line="276" w:lineRule="auto"/>
      <w:outlineLvl w:val="2"/>
    </w:pPr>
    <w:rPr>
      <w:rFonts w:ascii="Calibri" w:eastAsia="Times New Roman" w:hAnsi="Calibri" w:cs="Times New Roman"/>
      <w:b/>
      <w:bCs/>
      <w:color w:val="4F81BD"/>
      <w:lang w:eastAsia="en-ZA"/>
    </w:rPr>
  </w:style>
  <w:style w:type="paragraph" w:styleId="Heading4">
    <w:name w:val="heading 4"/>
    <w:basedOn w:val="Normal"/>
    <w:next w:val="Normal"/>
    <w:link w:val="Heading4Char"/>
    <w:uiPriority w:val="9"/>
    <w:semiHidden/>
    <w:unhideWhenUsed/>
    <w:qFormat/>
    <w:rsid w:val="003B37F5"/>
    <w:pPr>
      <w:keepNext/>
      <w:keepLines/>
      <w:spacing w:before="200" w:line="276" w:lineRule="auto"/>
      <w:outlineLvl w:val="3"/>
    </w:pPr>
    <w:rPr>
      <w:rFonts w:ascii="Calibri" w:eastAsia="Times New Roman" w:hAnsi="Calibri" w:cs="Times New Roman"/>
      <w:b/>
      <w:bCs/>
      <w:i/>
      <w:iCs/>
      <w:color w:val="4F81BD"/>
      <w:lang w:eastAsia="en-ZA"/>
    </w:rPr>
  </w:style>
  <w:style w:type="paragraph" w:styleId="Heading5">
    <w:name w:val="heading 5"/>
    <w:basedOn w:val="Normal"/>
    <w:next w:val="Normal"/>
    <w:link w:val="Heading5Char"/>
    <w:uiPriority w:val="9"/>
    <w:semiHidden/>
    <w:unhideWhenUsed/>
    <w:qFormat/>
    <w:rsid w:val="003B37F5"/>
    <w:pPr>
      <w:keepNext/>
      <w:keepLines/>
      <w:spacing w:before="200" w:line="276" w:lineRule="auto"/>
      <w:outlineLvl w:val="4"/>
    </w:pPr>
    <w:rPr>
      <w:rFonts w:ascii="Calibri" w:eastAsia="Times New Roman" w:hAnsi="Calibri" w:cs="Times New Roman"/>
      <w:color w:val="243F60"/>
      <w:lang w:eastAsia="en-ZA"/>
    </w:rPr>
  </w:style>
  <w:style w:type="paragraph" w:styleId="Heading6">
    <w:name w:val="heading 6"/>
    <w:basedOn w:val="Normal"/>
    <w:next w:val="Normal"/>
    <w:link w:val="Heading6Char"/>
    <w:uiPriority w:val="9"/>
    <w:semiHidden/>
    <w:unhideWhenUsed/>
    <w:qFormat/>
    <w:rsid w:val="003B37F5"/>
    <w:pPr>
      <w:keepNext/>
      <w:keepLines/>
      <w:spacing w:before="200" w:line="276" w:lineRule="auto"/>
      <w:outlineLvl w:val="5"/>
    </w:pPr>
    <w:rPr>
      <w:rFonts w:ascii="Calibri" w:eastAsia="Times New Roman" w:hAnsi="Calibri" w:cs="Times New Roman"/>
      <w:i/>
      <w:iCs/>
      <w:color w:val="243F60"/>
      <w:lang w:eastAsia="en-ZA"/>
    </w:rPr>
  </w:style>
  <w:style w:type="paragraph" w:styleId="Heading7">
    <w:name w:val="heading 7"/>
    <w:basedOn w:val="Normal"/>
    <w:next w:val="Normal"/>
    <w:link w:val="Heading7Char"/>
    <w:uiPriority w:val="9"/>
    <w:semiHidden/>
    <w:unhideWhenUsed/>
    <w:qFormat/>
    <w:rsid w:val="003B37F5"/>
    <w:pPr>
      <w:keepNext/>
      <w:keepLines/>
      <w:spacing w:before="4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semiHidden/>
    <w:unhideWhenUsed/>
    <w:qFormat/>
    <w:rsid w:val="003B37F5"/>
    <w:pPr>
      <w:keepNext/>
      <w:keepLines/>
      <w:spacing w:before="200" w:line="276" w:lineRule="auto"/>
      <w:outlineLvl w:val="7"/>
    </w:pPr>
    <w:rPr>
      <w:rFonts w:ascii="Calibri" w:eastAsia="Times New Roman" w:hAnsi="Calibri" w:cs="Times New Roman"/>
      <w:color w:val="4F81BD"/>
      <w:sz w:val="20"/>
      <w:szCs w:val="20"/>
      <w:lang w:eastAsia="en-ZA"/>
    </w:rPr>
  </w:style>
  <w:style w:type="paragraph" w:styleId="Heading9">
    <w:name w:val="heading 9"/>
    <w:basedOn w:val="Normal"/>
    <w:next w:val="Normal"/>
    <w:link w:val="Heading9Char"/>
    <w:uiPriority w:val="9"/>
    <w:semiHidden/>
    <w:unhideWhenUsed/>
    <w:qFormat/>
    <w:rsid w:val="003B37F5"/>
    <w:pPr>
      <w:keepNext/>
      <w:keepLines/>
      <w:spacing w:before="200" w:line="276" w:lineRule="auto"/>
      <w:outlineLvl w:val="8"/>
    </w:pPr>
    <w:rPr>
      <w:rFonts w:ascii="Calibri" w:eastAsia="Times New Roman" w:hAnsi="Calibri" w:cs="Times New Roman"/>
      <w:i/>
      <w:iCs/>
      <w:color w:val="404040"/>
      <w:sz w:val="20"/>
      <w:szCs w:val="20"/>
      <w:lang w:eastAsia="en-Z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3B37F5"/>
    <w:rPr>
      <w:rFonts w:asciiTheme="majorHAnsi" w:eastAsiaTheme="majorEastAsia" w:hAnsiTheme="majorHAnsi" w:cstheme="majorBidi"/>
      <w:b/>
      <w:bCs/>
      <w:i/>
      <w:color w:val="000000" w:themeColor="text1"/>
      <w:sz w:val="52"/>
      <w:szCs w:val="52"/>
      <w:lang w:eastAsia="en-ZA"/>
    </w:rPr>
  </w:style>
  <w:style w:type="character" w:customStyle="1" w:styleId="Heading2Char">
    <w:name w:val="Heading 2 Char"/>
    <w:basedOn w:val="DefaultParagraphFont"/>
    <w:link w:val="Heading2"/>
    <w:uiPriority w:val="9"/>
    <w:rsid w:val="003B37F5"/>
    <w:rPr>
      <w:rFonts w:ascii="Calibri" w:eastAsia="Times New Roman" w:hAnsi="Calibri" w:cs="Times New Roman"/>
      <w:b/>
      <w:bCs/>
      <w:i/>
      <w:color w:val="000000"/>
      <w:sz w:val="44"/>
      <w:szCs w:val="44"/>
      <w:lang w:eastAsia="en-ZA"/>
    </w:rPr>
  </w:style>
  <w:style w:type="character" w:customStyle="1" w:styleId="Heading3Char">
    <w:name w:val="Heading 3 Char"/>
    <w:basedOn w:val="DefaultParagraphFont"/>
    <w:link w:val="Heading3"/>
    <w:uiPriority w:val="9"/>
    <w:rsid w:val="003B37F5"/>
    <w:rPr>
      <w:rFonts w:ascii="Calibri" w:eastAsia="Times New Roman" w:hAnsi="Calibri" w:cs="Times New Roman"/>
      <w:b/>
      <w:bCs/>
      <w:color w:val="4F81BD"/>
      <w:lang w:eastAsia="en-ZA"/>
    </w:rPr>
  </w:style>
  <w:style w:type="character" w:customStyle="1" w:styleId="Heading4Char">
    <w:name w:val="Heading 4 Char"/>
    <w:basedOn w:val="DefaultParagraphFont"/>
    <w:link w:val="Heading4"/>
    <w:uiPriority w:val="9"/>
    <w:semiHidden/>
    <w:rsid w:val="003B37F5"/>
    <w:rPr>
      <w:rFonts w:ascii="Calibri" w:eastAsia="Times New Roman" w:hAnsi="Calibri" w:cs="Times New Roman"/>
      <w:b/>
      <w:bCs/>
      <w:i/>
      <w:iCs/>
      <w:color w:val="4F81BD"/>
      <w:lang w:eastAsia="en-ZA"/>
    </w:rPr>
  </w:style>
  <w:style w:type="character" w:customStyle="1" w:styleId="Heading5Char">
    <w:name w:val="Heading 5 Char"/>
    <w:basedOn w:val="DefaultParagraphFont"/>
    <w:link w:val="Heading5"/>
    <w:uiPriority w:val="9"/>
    <w:semiHidden/>
    <w:rsid w:val="003B37F5"/>
    <w:rPr>
      <w:rFonts w:ascii="Calibri" w:eastAsia="Times New Roman" w:hAnsi="Calibri" w:cs="Times New Roman"/>
      <w:color w:val="243F60"/>
      <w:lang w:eastAsia="en-ZA"/>
    </w:rPr>
  </w:style>
  <w:style w:type="character" w:customStyle="1" w:styleId="Heading6Char">
    <w:name w:val="Heading 6 Char"/>
    <w:basedOn w:val="DefaultParagraphFont"/>
    <w:link w:val="Heading6"/>
    <w:uiPriority w:val="9"/>
    <w:semiHidden/>
    <w:rsid w:val="003B37F5"/>
    <w:rPr>
      <w:rFonts w:ascii="Calibri" w:eastAsia="Times New Roman" w:hAnsi="Calibri" w:cs="Times New Roman"/>
      <w:i/>
      <w:iCs/>
      <w:color w:val="243F60"/>
      <w:lang w:eastAsia="en-ZA"/>
    </w:rPr>
  </w:style>
  <w:style w:type="character" w:customStyle="1" w:styleId="Heading7Char">
    <w:name w:val="Heading 7 Char"/>
    <w:basedOn w:val="DefaultParagraphFont"/>
    <w:link w:val="Heading7"/>
    <w:uiPriority w:val="9"/>
    <w:semiHidden/>
    <w:rsid w:val="003B37F5"/>
    <w:rPr>
      <w:rFonts w:asciiTheme="majorHAnsi" w:eastAsiaTheme="majorEastAsia" w:hAnsiTheme="majorHAnsi" w:cstheme="majorBidi"/>
      <w:i/>
      <w:iCs/>
      <w:color w:val="1F3763" w:themeColor="accent1" w:themeShade="7F"/>
    </w:rPr>
  </w:style>
  <w:style w:type="character" w:customStyle="1" w:styleId="Heading8Char">
    <w:name w:val="Heading 8 Char"/>
    <w:basedOn w:val="DefaultParagraphFont"/>
    <w:link w:val="Heading8"/>
    <w:uiPriority w:val="9"/>
    <w:semiHidden/>
    <w:rsid w:val="003B37F5"/>
    <w:rPr>
      <w:rFonts w:ascii="Calibri" w:eastAsia="Times New Roman" w:hAnsi="Calibri" w:cs="Times New Roman"/>
      <w:color w:val="4F81BD"/>
      <w:sz w:val="20"/>
      <w:szCs w:val="20"/>
      <w:lang w:eastAsia="en-ZA"/>
    </w:rPr>
  </w:style>
  <w:style w:type="character" w:customStyle="1" w:styleId="Heading9Char">
    <w:name w:val="Heading 9 Char"/>
    <w:basedOn w:val="DefaultParagraphFont"/>
    <w:link w:val="Heading9"/>
    <w:uiPriority w:val="9"/>
    <w:semiHidden/>
    <w:rsid w:val="003B37F5"/>
    <w:rPr>
      <w:rFonts w:ascii="Calibri" w:eastAsia="Times New Roman" w:hAnsi="Calibri" w:cs="Times New Roman"/>
      <w:i/>
      <w:iCs/>
      <w:color w:val="404040"/>
      <w:sz w:val="20"/>
      <w:szCs w:val="20"/>
      <w:lang w:eastAsia="en-ZA"/>
    </w:rPr>
  </w:style>
  <w:style w:type="paragraph" w:styleId="TOC1">
    <w:name w:val="toc 1"/>
    <w:basedOn w:val="Heading1"/>
    <w:next w:val="Heading1"/>
    <w:autoRedefine/>
    <w:uiPriority w:val="39"/>
    <w:unhideWhenUsed/>
    <w:qFormat/>
    <w:rsid w:val="003B37F5"/>
    <w:pPr>
      <w:spacing w:before="120" w:after="120"/>
      <w:jc w:val="left"/>
    </w:pPr>
    <w:rPr>
      <w:rFonts w:ascii="Calibri" w:eastAsia="Times New Roman" w:hAnsi="Calibri" w:cs="Times New Roman"/>
      <w:bCs w:val="0"/>
      <w:i w:val="0"/>
      <w:caps/>
      <w:color w:val="000000"/>
      <w:sz w:val="24"/>
      <w:szCs w:val="20"/>
    </w:rPr>
  </w:style>
  <w:style w:type="paragraph" w:styleId="TOC2">
    <w:name w:val="toc 2"/>
    <w:basedOn w:val="Heading2"/>
    <w:next w:val="Heading2"/>
    <w:autoRedefine/>
    <w:uiPriority w:val="39"/>
    <w:unhideWhenUsed/>
    <w:qFormat/>
    <w:rsid w:val="003B37F5"/>
    <w:pPr>
      <w:tabs>
        <w:tab w:val="right" w:leader="dot" w:pos="9356"/>
      </w:tabs>
      <w:ind w:left="220"/>
      <w:jc w:val="left"/>
    </w:pPr>
    <w:rPr>
      <w:i w:val="0"/>
      <w:smallCaps/>
      <w:sz w:val="20"/>
      <w:szCs w:val="20"/>
    </w:rPr>
  </w:style>
  <w:style w:type="paragraph" w:styleId="TOC3">
    <w:name w:val="toc 3"/>
    <w:basedOn w:val="Normal"/>
    <w:next w:val="Heading3"/>
    <w:autoRedefine/>
    <w:uiPriority w:val="39"/>
    <w:unhideWhenUsed/>
    <w:qFormat/>
    <w:rsid w:val="003B37F5"/>
    <w:pPr>
      <w:spacing w:line="276" w:lineRule="auto"/>
      <w:ind w:left="440"/>
    </w:pPr>
    <w:rPr>
      <w:rFonts w:ascii="Calibri" w:eastAsia="Times New Roman" w:hAnsi="Calibri" w:cs="Times New Roman"/>
      <w:b/>
      <w:i/>
      <w:iCs/>
      <w:sz w:val="20"/>
      <w:szCs w:val="20"/>
      <w:lang w:eastAsia="en-ZA"/>
    </w:rPr>
  </w:style>
  <w:style w:type="paragraph" w:styleId="Caption">
    <w:name w:val="caption"/>
    <w:basedOn w:val="Normal"/>
    <w:next w:val="Normal"/>
    <w:uiPriority w:val="35"/>
    <w:semiHidden/>
    <w:unhideWhenUsed/>
    <w:qFormat/>
    <w:rsid w:val="003B37F5"/>
    <w:pPr>
      <w:spacing w:after="200"/>
    </w:pPr>
    <w:rPr>
      <w:rFonts w:ascii="Cambria" w:eastAsia="Times New Roman" w:hAnsi="Cambria" w:cs="Times New Roman"/>
      <w:b/>
      <w:bCs/>
      <w:color w:val="4F81BD"/>
      <w:sz w:val="18"/>
      <w:szCs w:val="18"/>
      <w:lang w:eastAsia="en-ZA"/>
    </w:rPr>
  </w:style>
  <w:style w:type="paragraph" w:styleId="Title">
    <w:name w:val="Title"/>
    <w:basedOn w:val="Normal"/>
    <w:next w:val="Normal"/>
    <w:link w:val="TitleChar"/>
    <w:uiPriority w:val="10"/>
    <w:qFormat/>
    <w:rsid w:val="003B37F5"/>
    <w:pPr>
      <w:pBdr>
        <w:bottom w:val="single" w:sz="8" w:space="4" w:color="4F81BD"/>
      </w:pBdr>
      <w:spacing w:after="300"/>
      <w:contextualSpacing/>
    </w:pPr>
    <w:rPr>
      <w:rFonts w:ascii="Calibri" w:eastAsia="Times New Roman" w:hAnsi="Calibri" w:cs="Times New Roman"/>
      <w:color w:val="17365D"/>
      <w:spacing w:val="5"/>
      <w:kern w:val="28"/>
      <w:sz w:val="52"/>
      <w:szCs w:val="52"/>
      <w:lang w:eastAsia="en-ZA"/>
    </w:rPr>
  </w:style>
  <w:style w:type="character" w:customStyle="1" w:styleId="TitleChar">
    <w:name w:val="Title Char"/>
    <w:basedOn w:val="DefaultParagraphFont"/>
    <w:link w:val="Title"/>
    <w:uiPriority w:val="10"/>
    <w:rsid w:val="003B37F5"/>
    <w:rPr>
      <w:rFonts w:ascii="Calibri" w:eastAsia="Times New Roman" w:hAnsi="Calibri" w:cs="Times New Roman"/>
      <w:color w:val="17365D"/>
      <w:spacing w:val="5"/>
      <w:kern w:val="28"/>
      <w:sz w:val="52"/>
      <w:szCs w:val="52"/>
      <w:lang w:eastAsia="en-ZA"/>
    </w:rPr>
  </w:style>
  <w:style w:type="paragraph" w:styleId="Subtitle">
    <w:name w:val="Subtitle"/>
    <w:basedOn w:val="Normal"/>
    <w:next w:val="Normal"/>
    <w:link w:val="SubtitleChar"/>
    <w:uiPriority w:val="11"/>
    <w:qFormat/>
    <w:rsid w:val="003B37F5"/>
    <w:pPr>
      <w:numPr>
        <w:ilvl w:val="1"/>
      </w:numPr>
      <w:spacing w:after="200" w:line="276" w:lineRule="auto"/>
    </w:pPr>
    <w:rPr>
      <w:rFonts w:ascii="Calibri" w:eastAsia="Times New Roman" w:hAnsi="Calibri" w:cs="Times New Roman"/>
      <w:i/>
      <w:iCs/>
      <w:color w:val="4F81BD"/>
      <w:spacing w:val="15"/>
      <w:sz w:val="24"/>
      <w:szCs w:val="24"/>
      <w:lang w:eastAsia="en-ZA"/>
    </w:rPr>
  </w:style>
  <w:style w:type="character" w:customStyle="1" w:styleId="SubtitleChar">
    <w:name w:val="Subtitle Char"/>
    <w:basedOn w:val="DefaultParagraphFont"/>
    <w:link w:val="Subtitle"/>
    <w:uiPriority w:val="11"/>
    <w:rsid w:val="003B37F5"/>
    <w:rPr>
      <w:rFonts w:ascii="Calibri" w:eastAsia="Times New Roman" w:hAnsi="Calibri" w:cs="Times New Roman"/>
      <w:i/>
      <w:iCs/>
      <w:color w:val="4F81BD"/>
      <w:spacing w:val="15"/>
      <w:sz w:val="24"/>
      <w:szCs w:val="24"/>
      <w:lang w:eastAsia="en-ZA"/>
    </w:rPr>
  </w:style>
  <w:style w:type="character" w:styleId="Strong">
    <w:name w:val="Strong"/>
    <w:uiPriority w:val="22"/>
    <w:qFormat/>
    <w:rsid w:val="003B37F5"/>
    <w:rPr>
      <w:b/>
      <w:bCs/>
    </w:rPr>
  </w:style>
  <w:style w:type="character" w:styleId="Emphasis">
    <w:name w:val="Emphasis"/>
    <w:uiPriority w:val="20"/>
    <w:qFormat/>
    <w:rsid w:val="003B37F5"/>
    <w:rPr>
      <w:i/>
      <w:iCs/>
    </w:rPr>
  </w:style>
  <w:style w:type="paragraph" w:styleId="NoSpacing">
    <w:name w:val="No Spacing"/>
    <w:uiPriority w:val="1"/>
    <w:qFormat/>
    <w:rsid w:val="003B37F5"/>
    <w:rPr>
      <w:rFonts w:ascii="Cambria" w:eastAsia="Times New Roman" w:hAnsi="Cambria" w:cs="Times New Roman"/>
      <w:lang w:eastAsia="en-ZA"/>
    </w:rPr>
  </w:style>
  <w:style w:type="paragraph" w:styleId="ListParagraph">
    <w:name w:val="List Paragraph"/>
    <w:basedOn w:val="Normal"/>
    <w:uiPriority w:val="34"/>
    <w:qFormat/>
    <w:rsid w:val="003B37F5"/>
    <w:pPr>
      <w:spacing w:after="200" w:line="276" w:lineRule="auto"/>
      <w:ind w:left="720"/>
      <w:contextualSpacing/>
    </w:pPr>
    <w:rPr>
      <w:rFonts w:ascii="Cambria" w:eastAsia="Times New Roman" w:hAnsi="Cambria" w:cs="Times New Roman"/>
      <w:lang w:eastAsia="en-ZA"/>
    </w:rPr>
  </w:style>
  <w:style w:type="paragraph" w:styleId="Quote">
    <w:name w:val="Quote"/>
    <w:basedOn w:val="Normal"/>
    <w:next w:val="Normal"/>
    <w:link w:val="QuoteChar"/>
    <w:uiPriority w:val="29"/>
    <w:qFormat/>
    <w:rsid w:val="003B37F5"/>
    <w:pPr>
      <w:spacing w:after="200" w:line="276" w:lineRule="auto"/>
    </w:pPr>
    <w:rPr>
      <w:rFonts w:ascii="Cambria" w:eastAsia="Times New Roman" w:hAnsi="Cambria" w:cs="Times New Roman"/>
      <w:i/>
      <w:iCs/>
      <w:color w:val="000000"/>
      <w:lang w:eastAsia="en-ZA"/>
    </w:rPr>
  </w:style>
  <w:style w:type="character" w:customStyle="1" w:styleId="QuoteChar">
    <w:name w:val="Quote Char"/>
    <w:basedOn w:val="DefaultParagraphFont"/>
    <w:link w:val="Quote"/>
    <w:uiPriority w:val="29"/>
    <w:rsid w:val="003B37F5"/>
    <w:rPr>
      <w:rFonts w:ascii="Cambria" w:eastAsia="Times New Roman" w:hAnsi="Cambria" w:cs="Times New Roman"/>
      <w:i/>
      <w:iCs/>
      <w:color w:val="000000"/>
      <w:lang w:eastAsia="en-ZA"/>
    </w:rPr>
  </w:style>
  <w:style w:type="paragraph" w:styleId="IntenseQuote">
    <w:name w:val="Intense Quote"/>
    <w:basedOn w:val="Normal"/>
    <w:next w:val="Normal"/>
    <w:link w:val="IntenseQuoteChar"/>
    <w:uiPriority w:val="30"/>
    <w:qFormat/>
    <w:rsid w:val="003B37F5"/>
    <w:pPr>
      <w:pBdr>
        <w:bottom w:val="single" w:sz="4" w:space="4" w:color="4F81BD"/>
      </w:pBdr>
      <w:spacing w:before="200" w:after="280" w:line="276" w:lineRule="auto"/>
      <w:ind w:left="936" w:right="936"/>
    </w:pPr>
    <w:rPr>
      <w:rFonts w:ascii="Cambria" w:eastAsia="Times New Roman" w:hAnsi="Cambria" w:cs="Times New Roman"/>
      <w:b/>
      <w:bCs/>
      <w:i/>
      <w:iCs/>
      <w:color w:val="4F81BD"/>
      <w:lang w:eastAsia="en-ZA"/>
    </w:rPr>
  </w:style>
  <w:style w:type="character" w:customStyle="1" w:styleId="IntenseQuoteChar">
    <w:name w:val="Intense Quote Char"/>
    <w:basedOn w:val="DefaultParagraphFont"/>
    <w:link w:val="IntenseQuote"/>
    <w:uiPriority w:val="30"/>
    <w:rsid w:val="003B37F5"/>
    <w:rPr>
      <w:rFonts w:ascii="Cambria" w:eastAsia="Times New Roman" w:hAnsi="Cambria" w:cs="Times New Roman"/>
      <w:b/>
      <w:bCs/>
      <w:i/>
      <w:iCs/>
      <w:color w:val="4F81BD"/>
      <w:lang w:eastAsia="en-ZA"/>
    </w:rPr>
  </w:style>
  <w:style w:type="character" w:styleId="SubtleEmphasis">
    <w:name w:val="Subtle Emphasis"/>
    <w:uiPriority w:val="19"/>
    <w:qFormat/>
    <w:rsid w:val="003B37F5"/>
    <w:rPr>
      <w:i/>
      <w:iCs/>
      <w:color w:val="808080"/>
    </w:rPr>
  </w:style>
  <w:style w:type="character" w:styleId="IntenseEmphasis">
    <w:name w:val="Intense Emphasis"/>
    <w:uiPriority w:val="21"/>
    <w:qFormat/>
    <w:rsid w:val="003B37F5"/>
    <w:rPr>
      <w:b/>
      <w:bCs/>
      <w:i/>
      <w:iCs/>
      <w:color w:val="4F81BD"/>
    </w:rPr>
  </w:style>
  <w:style w:type="character" w:styleId="SubtleReference">
    <w:name w:val="Subtle Reference"/>
    <w:uiPriority w:val="31"/>
    <w:qFormat/>
    <w:rsid w:val="003B37F5"/>
    <w:rPr>
      <w:smallCaps/>
      <w:color w:val="C0504D"/>
      <w:u w:val="single"/>
    </w:rPr>
  </w:style>
  <w:style w:type="character" w:styleId="IntenseReference">
    <w:name w:val="Intense Reference"/>
    <w:uiPriority w:val="32"/>
    <w:qFormat/>
    <w:rsid w:val="003B37F5"/>
    <w:rPr>
      <w:b/>
      <w:bCs/>
      <w:smallCaps/>
      <w:color w:val="C0504D"/>
      <w:spacing w:val="5"/>
      <w:u w:val="single"/>
    </w:rPr>
  </w:style>
  <w:style w:type="character" w:styleId="BookTitle">
    <w:name w:val="Book Title"/>
    <w:uiPriority w:val="33"/>
    <w:qFormat/>
    <w:rsid w:val="003B37F5"/>
    <w:rPr>
      <w:b/>
      <w:bCs/>
      <w:smallCaps/>
      <w:spacing w:val="5"/>
    </w:rPr>
  </w:style>
  <w:style w:type="paragraph" w:styleId="TOCHeading">
    <w:name w:val="TOC Heading"/>
    <w:basedOn w:val="Heading1"/>
    <w:next w:val="Normal"/>
    <w:uiPriority w:val="39"/>
    <w:semiHidden/>
    <w:unhideWhenUsed/>
    <w:qFormat/>
    <w:rsid w:val="003B37F5"/>
    <w:pPr>
      <w:outlineLvl w:val="9"/>
    </w:pPr>
    <w:rPr>
      <w:rFonts w:ascii="Calibri" w:eastAsia="Times New Roman" w:hAnsi="Calibri" w:cs="Times New Roman"/>
      <w:color w:val="000000"/>
    </w:rPr>
  </w:style>
  <w:style w:type="character" w:styleId="Hyperlink">
    <w:name w:val="Hyperlink"/>
    <w:basedOn w:val="DefaultParagraphFont"/>
    <w:uiPriority w:val="99"/>
    <w:unhideWhenUsed/>
    <w:rsid w:val="00E4567F"/>
    <w:rPr>
      <w:color w:val="0563C1" w:themeColor="hyperlink"/>
      <w:u w:val="single"/>
    </w:rPr>
  </w:style>
  <w:style w:type="character" w:styleId="UnresolvedMention">
    <w:name w:val="Unresolved Mention"/>
    <w:basedOn w:val="DefaultParagraphFont"/>
    <w:uiPriority w:val="99"/>
    <w:semiHidden/>
    <w:unhideWhenUsed/>
    <w:rsid w:val="00E4567F"/>
    <w:rPr>
      <w:color w:val="605E5C"/>
      <w:shd w:val="clear" w:color="auto" w:fill="E1DFDD"/>
    </w:rPr>
  </w:style>
  <w:style w:type="numbering" w:customStyle="1" w:styleId="NoList1">
    <w:name w:val="No List1"/>
    <w:next w:val="NoList"/>
    <w:uiPriority w:val="99"/>
    <w:semiHidden/>
    <w:unhideWhenUsed/>
    <w:rsid w:val="00E4567F"/>
  </w:style>
  <w:style w:type="paragraph" w:customStyle="1" w:styleId="msonormal0">
    <w:name w:val="msonormal"/>
    <w:basedOn w:val="Normal"/>
    <w:rsid w:val="00E4567F"/>
    <w:pPr>
      <w:spacing w:before="100" w:beforeAutospacing="1" w:after="100" w:afterAutospacing="1"/>
    </w:pPr>
    <w:rPr>
      <w:rFonts w:ascii="Times New Roman" w:eastAsia="Times New Roman" w:hAnsi="Times New Roman" w:cs="Times New Roman"/>
      <w:sz w:val="24"/>
      <w:szCs w:val="24"/>
      <w:lang w:eastAsia="en-ZA"/>
    </w:rPr>
  </w:style>
  <w:style w:type="character" w:styleId="FollowedHyperlink">
    <w:name w:val="FollowedHyperlink"/>
    <w:basedOn w:val="DefaultParagraphFont"/>
    <w:uiPriority w:val="99"/>
    <w:semiHidden/>
    <w:unhideWhenUsed/>
    <w:rsid w:val="00E4567F"/>
    <w:rPr>
      <w:color w:val="800080"/>
      <w:u w:val="single"/>
    </w:rPr>
  </w:style>
  <w:style w:type="paragraph" w:customStyle="1" w:styleId="seealso">
    <w:name w:val="seealso"/>
    <w:basedOn w:val="Normal"/>
    <w:rsid w:val="00E4567F"/>
    <w:pPr>
      <w:spacing w:before="100" w:beforeAutospacing="1" w:after="100" w:afterAutospacing="1"/>
    </w:pPr>
    <w:rPr>
      <w:rFonts w:ascii="Times New Roman" w:eastAsia="Times New Roman" w:hAnsi="Times New Roman" w:cs="Times New Roman"/>
      <w:sz w:val="24"/>
      <w:szCs w:val="24"/>
      <w:lang w:eastAsia="en-ZA"/>
    </w:rPr>
  </w:style>
  <w:style w:type="paragraph" w:styleId="NormalWeb">
    <w:name w:val="Normal (Web)"/>
    <w:basedOn w:val="Normal"/>
    <w:uiPriority w:val="99"/>
    <w:semiHidden/>
    <w:unhideWhenUsed/>
    <w:rsid w:val="00E4567F"/>
    <w:pPr>
      <w:spacing w:before="100" w:beforeAutospacing="1" w:after="100" w:afterAutospacing="1"/>
    </w:pPr>
    <w:rPr>
      <w:rFonts w:ascii="Times New Roman" w:eastAsia="Times New Roman" w:hAnsi="Times New Roman" w:cs="Times New Roman"/>
      <w:sz w:val="24"/>
      <w:szCs w:val="24"/>
      <w:lang w:eastAsia="en-ZA"/>
    </w:rPr>
  </w:style>
  <w:style w:type="paragraph" w:customStyle="1" w:styleId="switcher">
    <w:name w:val="switcher"/>
    <w:basedOn w:val="Normal"/>
    <w:rsid w:val="00E4567F"/>
    <w:pPr>
      <w:spacing w:before="100" w:beforeAutospacing="1" w:after="100" w:afterAutospacing="1"/>
    </w:pPr>
    <w:rPr>
      <w:rFonts w:ascii="Times New Roman" w:eastAsia="Times New Roman" w:hAnsi="Times New Roman" w:cs="Times New Roman"/>
      <w:sz w:val="24"/>
      <w:szCs w:val="24"/>
      <w:lang w:eastAsia="en-ZA"/>
    </w:rPr>
  </w:style>
  <w:style w:type="character" w:customStyle="1" w:styleId="fn">
    <w:name w:val="fn"/>
    <w:basedOn w:val="DefaultParagraphFont"/>
    <w:rsid w:val="00E4567F"/>
  </w:style>
  <w:style w:type="character" w:customStyle="1" w:styleId="post-date">
    <w:name w:val="post-date"/>
    <w:basedOn w:val="DefaultParagraphFont"/>
    <w:rsid w:val="00E4567F"/>
  </w:style>
  <w:style w:type="paragraph" w:styleId="z-TopofForm">
    <w:name w:val="HTML Top of Form"/>
    <w:basedOn w:val="Normal"/>
    <w:next w:val="Normal"/>
    <w:link w:val="z-TopofFormChar"/>
    <w:hidden/>
    <w:uiPriority w:val="99"/>
    <w:semiHidden/>
    <w:unhideWhenUsed/>
    <w:rsid w:val="00E4567F"/>
    <w:pPr>
      <w:pBdr>
        <w:bottom w:val="single" w:sz="6" w:space="1" w:color="auto"/>
      </w:pBdr>
      <w:jc w:val="center"/>
    </w:pPr>
    <w:rPr>
      <w:rFonts w:eastAsia="Times New Roman" w:cs="Arial"/>
      <w:vanish/>
      <w:sz w:val="16"/>
      <w:szCs w:val="16"/>
      <w:lang w:eastAsia="en-ZA"/>
    </w:rPr>
  </w:style>
  <w:style w:type="character" w:customStyle="1" w:styleId="z-TopofFormChar">
    <w:name w:val="z-Top of Form Char"/>
    <w:basedOn w:val="DefaultParagraphFont"/>
    <w:link w:val="z-TopofForm"/>
    <w:uiPriority w:val="99"/>
    <w:semiHidden/>
    <w:rsid w:val="00E4567F"/>
    <w:rPr>
      <w:rFonts w:eastAsia="Times New Roman" w:cs="Arial"/>
      <w:vanish/>
      <w:sz w:val="16"/>
      <w:szCs w:val="16"/>
      <w:lang w:eastAsia="en-ZA"/>
    </w:rPr>
  </w:style>
  <w:style w:type="paragraph" w:styleId="z-BottomofForm">
    <w:name w:val="HTML Bottom of Form"/>
    <w:basedOn w:val="Normal"/>
    <w:next w:val="Normal"/>
    <w:link w:val="z-BottomofFormChar"/>
    <w:hidden/>
    <w:uiPriority w:val="99"/>
    <w:semiHidden/>
    <w:unhideWhenUsed/>
    <w:rsid w:val="00E4567F"/>
    <w:pPr>
      <w:pBdr>
        <w:top w:val="single" w:sz="6" w:space="1" w:color="auto"/>
      </w:pBdr>
      <w:jc w:val="center"/>
    </w:pPr>
    <w:rPr>
      <w:rFonts w:eastAsia="Times New Roman" w:cs="Arial"/>
      <w:vanish/>
      <w:sz w:val="16"/>
      <w:szCs w:val="16"/>
      <w:lang w:eastAsia="en-ZA"/>
    </w:rPr>
  </w:style>
  <w:style w:type="character" w:customStyle="1" w:styleId="z-BottomofFormChar">
    <w:name w:val="z-Bottom of Form Char"/>
    <w:basedOn w:val="DefaultParagraphFont"/>
    <w:link w:val="z-BottomofForm"/>
    <w:uiPriority w:val="99"/>
    <w:semiHidden/>
    <w:rsid w:val="00E4567F"/>
    <w:rPr>
      <w:rFonts w:eastAsia="Times New Roman" w:cs="Arial"/>
      <w:vanish/>
      <w:sz w:val="16"/>
      <w:szCs w:val="16"/>
      <w:lang w:eastAsia="en-ZA"/>
    </w:rPr>
  </w:style>
  <w:style w:type="paragraph" w:customStyle="1" w:styleId="rteleft">
    <w:name w:val="rteleft"/>
    <w:basedOn w:val="Normal"/>
    <w:rsid w:val="00FA1C1A"/>
    <w:pPr>
      <w:spacing w:before="100" w:beforeAutospacing="1" w:after="100" w:afterAutospacing="1"/>
    </w:pPr>
    <w:rPr>
      <w:rFonts w:ascii="Times New Roman" w:eastAsia="Times New Roman" w:hAnsi="Times New Roman" w:cs="Times New Roman"/>
      <w:sz w:val="24"/>
      <w:szCs w:val="24"/>
      <w:lang w:eastAsia="en-ZA"/>
    </w:rPr>
  </w:style>
  <w:style w:type="character" w:customStyle="1" w:styleId="overview">
    <w:name w:val="overview"/>
    <w:basedOn w:val="DefaultParagraphFont"/>
    <w:rsid w:val="00FA1C1A"/>
  </w:style>
  <w:style w:type="paragraph" w:customStyle="1" w:styleId="vcard">
    <w:name w:val="vcard"/>
    <w:basedOn w:val="Normal"/>
    <w:rsid w:val="00FA1C1A"/>
    <w:pPr>
      <w:spacing w:before="100" w:beforeAutospacing="1" w:after="100" w:afterAutospacing="1"/>
    </w:pPr>
    <w:rPr>
      <w:rFonts w:ascii="Times New Roman" w:eastAsia="Times New Roman" w:hAnsi="Times New Roman" w:cs="Times New Roman"/>
      <w:sz w:val="24"/>
      <w:szCs w:val="24"/>
      <w:lang w:eastAsia="en-ZA"/>
    </w:rPr>
  </w:style>
  <w:style w:type="paragraph" w:customStyle="1" w:styleId="role">
    <w:name w:val="role"/>
    <w:basedOn w:val="Normal"/>
    <w:rsid w:val="00FA1C1A"/>
    <w:pPr>
      <w:spacing w:before="100" w:beforeAutospacing="1" w:after="100" w:afterAutospacing="1"/>
    </w:pPr>
    <w:rPr>
      <w:rFonts w:ascii="Times New Roman" w:eastAsia="Times New Roman" w:hAnsi="Times New Roman" w:cs="Times New Roman"/>
      <w:sz w:val="24"/>
      <w:szCs w:val="24"/>
      <w:lang w:eastAsia="en-ZA"/>
    </w:rPr>
  </w:style>
  <w:style w:type="paragraph" w:customStyle="1" w:styleId="disclosure-logo">
    <w:name w:val="disclosure-logo"/>
    <w:basedOn w:val="Normal"/>
    <w:rsid w:val="00FA1C1A"/>
    <w:pPr>
      <w:spacing w:before="100" w:beforeAutospacing="1" w:after="100" w:afterAutospacing="1"/>
    </w:pPr>
    <w:rPr>
      <w:rFonts w:ascii="Times New Roman" w:eastAsia="Times New Roman" w:hAnsi="Times New Roman" w:cs="Times New Roman"/>
      <w:sz w:val="24"/>
      <w:szCs w:val="24"/>
      <w:lang w:eastAsia="en-ZA"/>
    </w:rPr>
  </w:style>
  <w:style w:type="paragraph" w:customStyle="1" w:styleId="funding-statement">
    <w:name w:val="funding-statement"/>
    <w:basedOn w:val="Normal"/>
    <w:rsid w:val="00FA1C1A"/>
    <w:pPr>
      <w:spacing w:before="100" w:beforeAutospacing="1" w:after="100" w:afterAutospacing="1"/>
    </w:pPr>
    <w:rPr>
      <w:rFonts w:ascii="Times New Roman" w:eastAsia="Times New Roman" w:hAnsi="Times New Roman" w:cs="Times New Roman"/>
      <w:sz w:val="24"/>
      <w:szCs w:val="24"/>
      <w:lang w:eastAsia="en-ZA"/>
    </w:rPr>
  </w:style>
  <w:style w:type="paragraph" w:customStyle="1" w:styleId="email">
    <w:name w:val="email"/>
    <w:basedOn w:val="Normal"/>
    <w:rsid w:val="00FA1C1A"/>
    <w:pPr>
      <w:spacing w:before="100" w:beforeAutospacing="1" w:after="100" w:afterAutospacing="1"/>
    </w:pPr>
    <w:rPr>
      <w:rFonts w:ascii="Times New Roman" w:eastAsia="Times New Roman" w:hAnsi="Times New Roman" w:cs="Times New Roman"/>
      <w:sz w:val="24"/>
      <w:szCs w:val="24"/>
      <w:lang w:eastAsia="en-ZA"/>
    </w:rPr>
  </w:style>
  <w:style w:type="paragraph" w:customStyle="1" w:styleId="twitter">
    <w:name w:val="twitter"/>
    <w:basedOn w:val="Normal"/>
    <w:rsid w:val="00FA1C1A"/>
    <w:pPr>
      <w:spacing w:before="100" w:beforeAutospacing="1" w:after="100" w:afterAutospacing="1"/>
    </w:pPr>
    <w:rPr>
      <w:rFonts w:ascii="Times New Roman" w:eastAsia="Times New Roman" w:hAnsi="Times New Roman" w:cs="Times New Roman"/>
      <w:sz w:val="24"/>
      <w:szCs w:val="24"/>
      <w:lang w:eastAsia="en-ZA"/>
    </w:rPr>
  </w:style>
  <w:style w:type="character" w:customStyle="1" w:styleId="data-count">
    <w:name w:val="data-count"/>
    <w:basedOn w:val="DefaultParagraphFont"/>
    <w:rsid w:val="00FA1C1A"/>
  </w:style>
  <w:style w:type="paragraph" w:customStyle="1" w:styleId="facebook">
    <w:name w:val="facebook"/>
    <w:basedOn w:val="Normal"/>
    <w:rsid w:val="00FA1C1A"/>
    <w:pPr>
      <w:spacing w:before="100" w:beforeAutospacing="1" w:after="100" w:afterAutospacing="1"/>
    </w:pPr>
    <w:rPr>
      <w:rFonts w:ascii="Times New Roman" w:eastAsia="Times New Roman" w:hAnsi="Times New Roman" w:cs="Times New Roman"/>
      <w:sz w:val="24"/>
      <w:szCs w:val="24"/>
      <w:lang w:eastAsia="en-ZA"/>
    </w:rPr>
  </w:style>
  <w:style w:type="paragraph" w:customStyle="1" w:styleId="linkedin">
    <w:name w:val="linkedin"/>
    <w:basedOn w:val="Normal"/>
    <w:rsid w:val="00FA1C1A"/>
    <w:pPr>
      <w:spacing w:before="100" w:beforeAutospacing="1" w:after="100" w:afterAutospacing="1"/>
    </w:pPr>
    <w:rPr>
      <w:rFonts w:ascii="Times New Roman" w:eastAsia="Times New Roman" w:hAnsi="Times New Roman" w:cs="Times New Roman"/>
      <w:sz w:val="24"/>
      <w:szCs w:val="24"/>
      <w:lang w:eastAsia="en-ZA"/>
    </w:rPr>
  </w:style>
  <w:style w:type="paragraph" w:customStyle="1" w:styleId="print">
    <w:name w:val="print"/>
    <w:basedOn w:val="Normal"/>
    <w:rsid w:val="00FA1C1A"/>
    <w:pPr>
      <w:spacing w:before="100" w:beforeAutospacing="1" w:after="100" w:afterAutospacing="1"/>
    </w:pPr>
    <w:rPr>
      <w:rFonts w:ascii="Times New Roman" w:eastAsia="Times New Roman" w:hAnsi="Times New Roman" w:cs="Times New Roman"/>
      <w:sz w:val="24"/>
      <w:szCs w:val="24"/>
      <w:lang w:eastAsia="en-Z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04539769">
      <w:bodyDiv w:val="1"/>
      <w:marLeft w:val="0"/>
      <w:marRight w:val="0"/>
      <w:marTop w:val="0"/>
      <w:marBottom w:val="0"/>
      <w:divBdr>
        <w:top w:val="none" w:sz="0" w:space="0" w:color="auto"/>
        <w:left w:val="none" w:sz="0" w:space="0" w:color="auto"/>
        <w:bottom w:val="none" w:sz="0" w:space="0" w:color="auto"/>
        <w:right w:val="none" w:sz="0" w:space="0" w:color="auto"/>
      </w:divBdr>
      <w:divsChild>
        <w:div w:id="1618218863">
          <w:marLeft w:val="0"/>
          <w:marRight w:val="0"/>
          <w:marTop w:val="0"/>
          <w:marBottom w:val="0"/>
          <w:divBdr>
            <w:top w:val="none" w:sz="0" w:space="0" w:color="auto"/>
            <w:left w:val="none" w:sz="0" w:space="0" w:color="auto"/>
            <w:bottom w:val="none" w:sz="0" w:space="0" w:color="auto"/>
            <w:right w:val="none" w:sz="0" w:space="0" w:color="auto"/>
          </w:divBdr>
        </w:div>
        <w:div w:id="1048066549">
          <w:marLeft w:val="0"/>
          <w:marRight w:val="0"/>
          <w:marTop w:val="0"/>
          <w:marBottom w:val="0"/>
          <w:divBdr>
            <w:top w:val="none" w:sz="0" w:space="0" w:color="auto"/>
            <w:left w:val="none" w:sz="0" w:space="0" w:color="auto"/>
            <w:bottom w:val="none" w:sz="0" w:space="0" w:color="auto"/>
            <w:right w:val="none" w:sz="0" w:space="0" w:color="auto"/>
          </w:divBdr>
          <w:divsChild>
            <w:div w:id="2694312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9319038">
      <w:bodyDiv w:val="1"/>
      <w:marLeft w:val="0"/>
      <w:marRight w:val="0"/>
      <w:marTop w:val="0"/>
      <w:marBottom w:val="0"/>
      <w:divBdr>
        <w:top w:val="none" w:sz="0" w:space="0" w:color="auto"/>
        <w:left w:val="none" w:sz="0" w:space="0" w:color="auto"/>
        <w:bottom w:val="none" w:sz="0" w:space="0" w:color="auto"/>
        <w:right w:val="none" w:sz="0" w:space="0" w:color="auto"/>
      </w:divBdr>
      <w:divsChild>
        <w:div w:id="946279076">
          <w:marLeft w:val="0"/>
          <w:marRight w:val="0"/>
          <w:marTop w:val="0"/>
          <w:marBottom w:val="0"/>
          <w:divBdr>
            <w:top w:val="none" w:sz="0" w:space="0" w:color="auto"/>
            <w:left w:val="none" w:sz="0" w:space="0" w:color="auto"/>
            <w:bottom w:val="none" w:sz="0" w:space="0" w:color="auto"/>
            <w:right w:val="none" w:sz="0" w:space="0" w:color="auto"/>
          </w:divBdr>
          <w:divsChild>
            <w:div w:id="1349409466">
              <w:marLeft w:val="0"/>
              <w:marRight w:val="0"/>
              <w:marTop w:val="0"/>
              <w:marBottom w:val="0"/>
              <w:divBdr>
                <w:top w:val="none" w:sz="0" w:space="0" w:color="auto"/>
                <w:left w:val="none" w:sz="0" w:space="0" w:color="auto"/>
                <w:bottom w:val="none" w:sz="0" w:space="0" w:color="auto"/>
                <w:right w:val="none" w:sz="0" w:space="0" w:color="auto"/>
              </w:divBdr>
              <w:divsChild>
                <w:div w:id="19887010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9318540">
          <w:marLeft w:val="0"/>
          <w:marRight w:val="0"/>
          <w:marTop w:val="0"/>
          <w:marBottom w:val="0"/>
          <w:divBdr>
            <w:top w:val="none" w:sz="0" w:space="0" w:color="auto"/>
            <w:left w:val="none" w:sz="0" w:space="0" w:color="auto"/>
            <w:bottom w:val="none" w:sz="0" w:space="0" w:color="auto"/>
            <w:right w:val="none" w:sz="0" w:space="0" w:color="auto"/>
          </w:divBdr>
          <w:divsChild>
            <w:div w:id="688603512">
              <w:marLeft w:val="0"/>
              <w:marRight w:val="0"/>
              <w:marTop w:val="0"/>
              <w:marBottom w:val="0"/>
              <w:divBdr>
                <w:top w:val="none" w:sz="0" w:space="0" w:color="auto"/>
                <w:left w:val="none" w:sz="0" w:space="0" w:color="auto"/>
                <w:bottom w:val="none" w:sz="0" w:space="0" w:color="auto"/>
                <w:right w:val="none" w:sz="0" w:space="0" w:color="auto"/>
              </w:divBdr>
            </w:div>
          </w:divsChild>
        </w:div>
        <w:div w:id="644509290">
          <w:marLeft w:val="0"/>
          <w:marRight w:val="0"/>
          <w:marTop w:val="0"/>
          <w:marBottom w:val="0"/>
          <w:divBdr>
            <w:top w:val="none" w:sz="0" w:space="0" w:color="auto"/>
            <w:left w:val="none" w:sz="0" w:space="0" w:color="auto"/>
            <w:bottom w:val="none" w:sz="0" w:space="0" w:color="auto"/>
            <w:right w:val="none" w:sz="0" w:space="0" w:color="auto"/>
          </w:divBdr>
          <w:divsChild>
            <w:div w:id="530887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9109618">
      <w:bodyDiv w:val="1"/>
      <w:marLeft w:val="0"/>
      <w:marRight w:val="0"/>
      <w:marTop w:val="0"/>
      <w:marBottom w:val="0"/>
      <w:divBdr>
        <w:top w:val="none" w:sz="0" w:space="0" w:color="auto"/>
        <w:left w:val="none" w:sz="0" w:space="0" w:color="auto"/>
        <w:bottom w:val="none" w:sz="0" w:space="0" w:color="auto"/>
        <w:right w:val="none" w:sz="0" w:space="0" w:color="auto"/>
      </w:divBdr>
      <w:divsChild>
        <w:div w:id="803353652">
          <w:marLeft w:val="0"/>
          <w:marRight w:val="0"/>
          <w:marTop w:val="0"/>
          <w:marBottom w:val="0"/>
          <w:divBdr>
            <w:top w:val="none" w:sz="0" w:space="0" w:color="auto"/>
            <w:left w:val="none" w:sz="0" w:space="0" w:color="auto"/>
            <w:bottom w:val="none" w:sz="0" w:space="0" w:color="auto"/>
            <w:right w:val="none" w:sz="0" w:space="0" w:color="auto"/>
          </w:divBdr>
          <w:divsChild>
            <w:div w:id="1409770981">
              <w:marLeft w:val="0"/>
              <w:marRight w:val="0"/>
              <w:marTop w:val="0"/>
              <w:marBottom w:val="0"/>
              <w:divBdr>
                <w:top w:val="none" w:sz="0" w:space="0" w:color="auto"/>
                <w:left w:val="none" w:sz="0" w:space="0" w:color="auto"/>
                <w:bottom w:val="none" w:sz="0" w:space="0" w:color="auto"/>
                <w:right w:val="none" w:sz="0" w:space="0" w:color="auto"/>
              </w:divBdr>
              <w:divsChild>
                <w:div w:id="528688740">
                  <w:marLeft w:val="-225"/>
                  <w:marRight w:val="-225"/>
                  <w:marTop w:val="0"/>
                  <w:marBottom w:val="0"/>
                  <w:divBdr>
                    <w:top w:val="none" w:sz="0" w:space="0" w:color="auto"/>
                    <w:left w:val="none" w:sz="0" w:space="0" w:color="auto"/>
                    <w:bottom w:val="none" w:sz="0" w:space="0" w:color="auto"/>
                    <w:right w:val="none" w:sz="0" w:space="0" w:color="auto"/>
                  </w:divBdr>
                  <w:divsChild>
                    <w:div w:id="1155687453">
                      <w:marLeft w:val="0"/>
                      <w:marRight w:val="0"/>
                      <w:marTop w:val="0"/>
                      <w:marBottom w:val="0"/>
                      <w:divBdr>
                        <w:top w:val="none" w:sz="0" w:space="0" w:color="auto"/>
                        <w:left w:val="none" w:sz="0" w:space="0" w:color="auto"/>
                        <w:bottom w:val="none" w:sz="0" w:space="0" w:color="auto"/>
                        <w:right w:val="none" w:sz="0" w:space="0" w:color="auto"/>
                      </w:divBdr>
                      <w:divsChild>
                        <w:div w:id="1755320356">
                          <w:marLeft w:val="0"/>
                          <w:marRight w:val="0"/>
                          <w:marTop w:val="0"/>
                          <w:marBottom w:val="0"/>
                          <w:divBdr>
                            <w:top w:val="none" w:sz="0" w:space="0" w:color="auto"/>
                            <w:left w:val="none" w:sz="0" w:space="0" w:color="auto"/>
                            <w:bottom w:val="none" w:sz="0" w:space="0" w:color="auto"/>
                            <w:right w:val="none" w:sz="0" w:space="0" w:color="auto"/>
                          </w:divBdr>
                          <w:divsChild>
                            <w:div w:id="14451495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70809263">
          <w:marLeft w:val="0"/>
          <w:marRight w:val="0"/>
          <w:marTop w:val="0"/>
          <w:marBottom w:val="0"/>
          <w:divBdr>
            <w:top w:val="none" w:sz="0" w:space="0" w:color="auto"/>
            <w:left w:val="none" w:sz="0" w:space="0" w:color="auto"/>
            <w:bottom w:val="none" w:sz="0" w:space="0" w:color="auto"/>
            <w:right w:val="none" w:sz="0" w:space="0" w:color="auto"/>
          </w:divBdr>
        </w:div>
        <w:div w:id="2137261412">
          <w:marLeft w:val="0"/>
          <w:marRight w:val="0"/>
          <w:marTop w:val="0"/>
          <w:marBottom w:val="0"/>
          <w:divBdr>
            <w:top w:val="none" w:sz="0" w:space="0" w:color="auto"/>
            <w:left w:val="none" w:sz="0" w:space="0" w:color="auto"/>
            <w:bottom w:val="none" w:sz="0" w:space="0" w:color="auto"/>
            <w:right w:val="none" w:sz="0" w:space="0" w:color="auto"/>
          </w:divBdr>
        </w:div>
        <w:div w:id="1307512989">
          <w:marLeft w:val="0"/>
          <w:marRight w:val="0"/>
          <w:marTop w:val="0"/>
          <w:marBottom w:val="0"/>
          <w:divBdr>
            <w:top w:val="none" w:sz="0" w:space="0" w:color="auto"/>
            <w:left w:val="none" w:sz="0" w:space="0" w:color="auto"/>
            <w:bottom w:val="none" w:sz="0" w:space="0" w:color="auto"/>
            <w:right w:val="none" w:sz="0" w:space="0" w:color="auto"/>
          </w:divBdr>
        </w:div>
        <w:div w:id="1356272549">
          <w:marLeft w:val="0"/>
          <w:marRight w:val="0"/>
          <w:marTop w:val="0"/>
          <w:marBottom w:val="0"/>
          <w:divBdr>
            <w:top w:val="none" w:sz="0" w:space="0" w:color="auto"/>
            <w:left w:val="none" w:sz="0" w:space="0" w:color="auto"/>
            <w:bottom w:val="none" w:sz="0" w:space="0" w:color="auto"/>
            <w:right w:val="none" w:sz="0" w:space="0" w:color="auto"/>
          </w:divBdr>
        </w:div>
        <w:div w:id="766737126">
          <w:marLeft w:val="0"/>
          <w:marRight w:val="0"/>
          <w:marTop w:val="0"/>
          <w:marBottom w:val="0"/>
          <w:divBdr>
            <w:top w:val="none" w:sz="0" w:space="0" w:color="auto"/>
            <w:left w:val="none" w:sz="0" w:space="0" w:color="auto"/>
            <w:bottom w:val="none" w:sz="0" w:space="0" w:color="auto"/>
            <w:right w:val="none" w:sz="0" w:space="0" w:color="auto"/>
          </w:divBdr>
        </w:div>
        <w:div w:id="2137143698">
          <w:marLeft w:val="0"/>
          <w:marRight w:val="0"/>
          <w:marTop w:val="0"/>
          <w:marBottom w:val="0"/>
          <w:divBdr>
            <w:top w:val="none" w:sz="0" w:space="0" w:color="auto"/>
            <w:left w:val="none" w:sz="0" w:space="0" w:color="auto"/>
            <w:bottom w:val="none" w:sz="0" w:space="0" w:color="auto"/>
            <w:right w:val="none" w:sz="0" w:space="0" w:color="auto"/>
          </w:divBdr>
        </w:div>
        <w:div w:id="930313040">
          <w:marLeft w:val="0"/>
          <w:marRight w:val="0"/>
          <w:marTop w:val="0"/>
          <w:marBottom w:val="0"/>
          <w:divBdr>
            <w:top w:val="none" w:sz="0" w:space="0" w:color="auto"/>
            <w:left w:val="none" w:sz="0" w:space="0" w:color="auto"/>
            <w:bottom w:val="none" w:sz="0" w:space="0" w:color="auto"/>
            <w:right w:val="none" w:sz="0" w:space="0" w:color="auto"/>
          </w:divBdr>
        </w:div>
        <w:div w:id="6105086">
          <w:marLeft w:val="0"/>
          <w:marRight w:val="0"/>
          <w:marTop w:val="0"/>
          <w:marBottom w:val="0"/>
          <w:divBdr>
            <w:top w:val="none" w:sz="0" w:space="0" w:color="auto"/>
            <w:left w:val="none" w:sz="0" w:space="0" w:color="auto"/>
            <w:bottom w:val="none" w:sz="0" w:space="0" w:color="auto"/>
            <w:right w:val="none" w:sz="0" w:space="0" w:color="auto"/>
          </w:divBdr>
        </w:div>
        <w:div w:id="1932810392">
          <w:marLeft w:val="0"/>
          <w:marRight w:val="0"/>
          <w:marTop w:val="0"/>
          <w:marBottom w:val="0"/>
          <w:divBdr>
            <w:top w:val="none" w:sz="0" w:space="0" w:color="auto"/>
            <w:left w:val="none" w:sz="0" w:space="0" w:color="auto"/>
            <w:bottom w:val="none" w:sz="0" w:space="0" w:color="auto"/>
            <w:right w:val="none" w:sz="0" w:space="0" w:color="auto"/>
          </w:divBdr>
          <w:divsChild>
            <w:div w:id="1209682925">
              <w:marLeft w:val="0"/>
              <w:marRight w:val="0"/>
              <w:marTop w:val="0"/>
              <w:marBottom w:val="0"/>
              <w:divBdr>
                <w:top w:val="none" w:sz="0" w:space="0" w:color="auto"/>
                <w:left w:val="none" w:sz="0" w:space="0" w:color="auto"/>
                <w:bottom w:val="none" w:sz="0" w:space="0" w:color="auto"/>
                <w:right w:val="none" w:sz="0" w:space="0" w:color="auto"/>
              </w:divBdr>
            </w:div>
          </w:divsChild>
        </w:div>
        <w:div w:id="572352735">
          <w:marLeft w:val="0"/>
          <w:marRight w:val="0"/>
          <w:marTop w:val="0"/>
          <w:marBottom w:val="0"/>
          <w:divBdr>
            <w:top w:val="none" w:sz="0" w:space="0" w:color="auto"/>
            <w:left w:val="none" w:sz="0" w:space="0" w:color="auto"/>
            <w:bottom w:val="none" w:sz="0" w:space="0" w:color="auto"/>
            <w:right w:val="none" w:sz="0" w:space="0" w:color="auto"/>
          </w:divBdr>
        </w:div>
        <w:div w:id="1456631486">
          <w:marLeft w:val="0"/>
          <w:marRight w:val="0"/>
          <w:marTop w:val="0"/>
          <w:marBottom w:val="0"/>
          <w:divBdr>
            <w:top w:val="none" w:sz="0" w:space="0" w:color="auto"/>
            <w:left w:val="none" w:sz="0" w:space="0" w:color="auto"/>
            <w:bottom w:val="none" w:sz="0" w:space="0" w:color="auto"/>
            <w:right w:val="none" w:sz="0" w:space="0" w:color="auto"/>
          </w:divBdr>
        </w:div>
        <w:div w:id="399717244">
          <w:marLeft w:val="0"/>
          <w:marRight w:val="0"/>
          <w:marTop w:val="0"/>
          <w:marBottom w:val="0"/>
          <w:divBdr>
            <w:top w:val="none" w:sz="0" w:space="0" w:color="auto"/>
            <w:left w:val="none" w:sz="0" w:space="0" w:color="auto"/>
            <w:bottom w:val="none" w:sz="0" w:space="0" w:color="auto"/>
            <w:right w:val="none" w:sz="0" w:space="0" w:color="auto"/>
          </w:divBdr>
        </w:div>
        <w:div w:id="1068965772">
          <w:marLeft w:val="0"/>
          <w:marRight w:val="0"/>
          <w:marTop w:val="0"/>
          <w:marBottom w:val="0"/>
          <w:divBdr>
            <w:top w:val="none" w:sz="0" w:space="0" w:color="auto"/>
            <w:left w:val="none" w:sz="0" w:space="0" w:color="auto"/>
            <w:bottom w:val="none" w:sz="0" w:space="0" w:color="auto"/>
            <w:right w:val="none" w:sz="0" w:space="0" w:color="auto"/>
          </w:divBdr>
        </w:div>
        <w:div w:id="1045644546">
          <w:marLeft w:val="0"/>
          <w:marRight w:val="0"/>
          <w:marTop w:val="0"/>
          <w:marBottom w:val="0"/>
          <w:divBdr>
            <w:top w:val="none" w:sz="0" w:space="0" w:color="auto"/>
            <w:left w:val="none" w:sz="0" w:space="0" w:color="auto"/>
            <w:bottom w:val="none" w:sz="0" w:space="0" w:color="auto"/>
            <w:right w:val="none" w:sz="0" w:space="0" w:color="auto"/>
          </w:divBdr>
        </w:div>
        <w:div w:id="789281499">
          <w:marLeft w:val="0"/>
          <w:marRight w:val="0"/>
          <w:marTop w:val="0"/>
          <w:marBottom w:val="0"/>
          <w:divBdr>
            <w:top w:val="none" w:sz="0" w:space="0" w:color="auto"/>
            <w:left w:val="none" w:sz="0" w:space="0" w:color="auto"/>
            <w:bottom w:val="none" w:sz="0" w:space="0" w:color="auto"/>
            <w:right w:val="none" w:sz="0" w:space="0" w:color="auto"/>
          </w:divBdr>
        </w:div>
        <w:div w:id="2123526676">
          <w:marLeft w:val="0"/>
          <w:marRight w:val="0"/>
          <w:marTop w:val="0"/>
          <w:marBottom w:val="0"/>
          <w:divBdr>
            <w:top w:val="none" w:sz="0" w:space="0" w:color="auto"/>
            <w:left w:val="none" w:sz="0" w:space="0" w:color="auto"/>
            <w:bottom w:val="none" w:sz="0" w:space="0" w:color="auto"/>
            <w:right w:val="none" w:sz="0" w:space="0" w:color="auto"/>
          </w:divBdr>
        </w:div>
        <w:div w:id="682779115">
          <w:marLeft w:val="0"/>
          <w:marRight w:val="0"/>
          <w:marTop w:val="0"/>
          <w:marBottom w:val="0"/>
          <w:divBdr>
            <w:top w:val="none" w:sz="0" w:space="0" w:color="auto"/>
            <w:left w:val="none" w:sz="0" w:space="0" w:color="auto"/>
            <w:bottom w:val="none" w:sz="0" w:space="0" w:color="auto"/>
            <w:right w:val="none" w:sz="0" w:space="0" w:color="auto"/>
          </w:divBdr>
          <w:divsChild>
            <w:div w:id="2023321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6629594">
      <w:bodyDiv w:val="1"/>
      <w:marLeft w:val="0"/>
      <w:marRight w:val="0"/>
      <w:marTop w:val="0"/>
      <w:marBottom w:val="0"/>
      <w:divBdr>
        <w:top w:val="none" w:sz="0" w:space="0" w:color="auto"/>
        <w:left w:val="none" w:sz="0" w:space="0" w:color="auto"/>
        <w:bottom w:val="none" w:sz="0" w:space="0" w:color="auto"/>
        <w:right w:val="none" w:sz="0" w:space="0" w:color="auto"/>
      </w:divBdr>
      <w:divsChild>
        <w:div w:id="1272593413">
          <w:marLeft w:val="0"/>
          <w:marRight w:val="0"/>
          <w:marTop w:val="0"/>
          <w:marBottom w:val="0"/>
          <w:divBdr>
            <w:top w:val="none" w:sz="0" w:space="0" w:color="auto"/>
            <w:left w:val="none" w:sz="0" w:space="0" w:color="auto"/>
            <w:bottom w:val="none" w:sz="0" w:space="0" w:color="auto"/>
            <w:right w:val="none" w:sz="0" w:space="0" w:color="auto"/>
          </w:divBdr>
        </w:div>
      </w:divsChild>
    </w:div>
    <w:div w:id="579564884">
      <w:bodyDiv w:val="1"/>
      <w:marLeft w:val="0"/>
      <w:marRight w:val="0"/>
      <w:marTop w:val="0"/>
      <w:marBottom w:val="0"/>
      <w:divBdr>
        <w:top w:val="none" w:sz="0" w:space="0" w:color="auto"/>
        <w:left w:val="none" w:sz="0" w:space="0" w:color="auto"/>
        <w:bottom w:val="none" w:sz="0" w:space="0" w:color="auto"/>
        <w:right w:val="none" w:sz="0" w:space="0" w:color="auto"/>
      </w:divBdr>
      <w:divsChild>
        <w:div w:id="1967733601">
          <w:marLeft w:val="0"/>
          <w:marRight w:val="0"/>
          <w:marTop w:val="0"/>
          <w:marBottom w:val="0"/>
          <w:divBdr>
            <w:top w:val="none" w:sz="0" w:space="0" w:color="auto"/>
            <w:left w:val="none" w:sz="0" w:space="0" w:color="auto"/>
            <w:bottom w:val="none" w:sz="0" w:space="0" w:color="auto"/>
            <w:right w:val="none" w:sz="0" w:space="0" w:color="auto"/>
          </w:divBdr>
          <w:divsChild>
            <w:div w:id="949044148">
              <w:marLeft w:val="0"/>
              <w:marRight w:val="0"/>
              <w:marTop w:val="0"/>
              <w:marBottom w:val="0"/>
              <w:divBdr>
                <w:top w:val="none" w:sz="0" w:space="0" w:color="auto"/>
                <w:left w:val="none" w:sz="0" w:space="0" w:color="auto"/>
                <w:bottom w:val="none" w:sz="0" w:space="0" w:color="auto"/>
                <w:right w:val="none" w:sz="0" w:space="0" w:color="auto"/>
              </w:divBdr>
              <w:divsChild>
                <w:div w:id="21153983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6980185">
          <w:marLeft w:val="0"/>
          <w:marRight w:val="0"/>
          <w:marTop w:val="0"/>
          <w:marBottom w:val="0"/>
          <w:divBdr>
            <w:top w:val="none" w:sz="0" w:space="0" w:color="auto"/>
            <w:left w:val="none" w:sz="0" w:space="0" w:color="auto"/>
            <w:bottom w:val="none" w:sz="0" w:space="0" w:color="auto"/>
            <w:right w:val="none" w:sz="0" w:space="0" w:color="auto"/>
          </w:divBdr>
          <w:divsChild>
            <w:div w:id="2110004417">
              <w:marLeft w:val="0"/>
              <w:marRight w:val="0"/>
              <w:marTop w:val="0"/>
              <w:marBottom w:val="0"/>
              <w:divBdr>
                <w:top w:val="none" w:sz="0" w:space="0" w:color="auto"/>
                <w:left w:val="none" w:sz="0" w:space="0" w:color="auto"/>
                <w:bottom w:val="none" w:sz="0" w:space="0" w:color="auto"/>
                <w:right w:val="none" w:sz="0" w:space="0" w:color="auto"/>
              </w:divBdr>
              <w:divsChild>
                <w:div w:id="1375085580">
                  <w:marLeft w:val="0"/>
                  <w:marRight w:val="0"/>
                  <w:marTop w:val="0"/>
                  <w:marBottom w:val="0"/>
                  <w:divBdr>
                    <w:top w:val="none" w:sz="0" w:space="0" w:color="auto"/>
                    <w:left w:val="none" w:sz="0" w:space="0" w:color="auto"/>
                    <w:bottom w:val="none" w:sz="0" w:space="0" w:color="auto"/>
                    <w:right w:val="none" w:sz="0" w:space="0" w:color="auto"/>
                  </w:divBdr>
                  <w:divsChild>
                    <w:div w:id="817695263">
                      <w:marLeft w:val="0"/>
                      <w:marRight w:val="0"/>
                      <w:marTop w:val="0"/>
                      <w:marBottom w:val="0"/>
                      <w:divBdr>
                        <w:top w:val="none" w:sz="0" w:space="0" w:color="auto"/>
                        <w:left w:val="none" w:sz="0" w:space="0" w:color="auto"/>
                        <w:bottom w:val="none" w:sz="0" w:space="0" w:color="auto"/>
                        <w:right w:val="none" w:sz="0" w:space="0" w:color="auto"/>
                      </w:divBdr>
                      <w:divsChild>
                        <w:div w:id="4031892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85461835">
              <w:marLeft w:val="0"/>
              <w:marRight w:val="0"/>
              <w:marTop w:val="0"/>
              <w:marBottom w:val="0"/>
              <w:divBdr>
                <w:top w:val="none" w:sz="0" w:space="0" w:color="auto"/>
                <w:left w:val="none" w:sz="0" w:space="0" w:color="auto"/>
                <w:bottom w:val="none" w:sz="0" w:space="0" w:color="auto"/>
                <w:right w:val="none" w:sz="0" w:space="0" w:color="auto"/>
              </w:divBdr>
              <w:divsChild>
                <w:div w:id="1852329036">
                  <w:marLeft w:val="0"/>
                  <w:marRight w:val="0"/>
                  <w:marTop w:val="0"/>
                  <w:marBottom w:val="0"/>
                  <w:divBdr>
                    <w:top w:val="none" w:sz="0" w:space="0" w:color="auto"/>
                    <w:left w:val="none" w:sz="0" w:space="0" w:color="auto"/>
                    <w:bottom w:val="none" w:sz="0" w:space="0" w:color="auto"/>
                    <w:right w:val="none" w:sz="0" w:space="0" w:color="auto"/>
                  </w:divBdr>
                  <w:divsChild>
                    <w:div w:id="3762037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93519583">
      <w:bodyDiv w:val="1"/>
      <w:marLeft w:val="0"/>
      <w:marRight w:val="0"/>
      <w:marTop w:val="0"/>
      <w:marBottom w:val="0"/>
      <w:divBdr>
        <w:top w:val="none" w:sz="0" w:space="0" w:color="auto"/>
        <w:left w:val="none" w:sz="0" w:space="0" w:color="auto"/>
        <w:bottom w:val="none" w:sz="0" w:space="0" w:color="auto"/>
        <w:right w:val="none" w:sz="0" w:space="0" w:color="auto"/>
      </w:divBdr>
      <w:divsChild>
        <w:div w:id="773597096">
          <w:marLeft w:val="0"/>
          <w:marRight w:val="0"/>
          <w:marTop w:val="0"/>
          <w:marBottom w:val="0"/>
          <w:divBdr>
            <w:top w:val="none" w:sz="0" w:space="0" w:color="auto"/>
            <w:left w:val="none" w:sz="0" w:space="0" w:color="auto"/>
            <w:bottom w:val="none" w:sz="0" w:space="0" w:color="auto"/>
            <w:right w:val="none" w:sz="0" w:space="0" w:color="auto"/>
          </w:divBdr>
          <w:divsChild>
            <w:div w:id="174151481">
              <w:marLeft w:val="0"/>
              <w:marRight w:val="0"/>
              <w:marTop w:val="0"/>
              <w:marBottom w:val="0"/>
              <w:divBdr>
                <w:top w:val="none" w:sz="0" w:space="0" w:color="auto"/>
                <w:left w:val="none" w:sz="0" w:space="0" w:color="auto"/>
                <w:bottom w:val="none" w:sz="0" w:space="0" w:color="auto"/>
                <w:right w:val="none" w:sz="0" w:space="0" w:color="auto"/>
              </w:divBdr>
            </w:div>
            <w:div w:id="1481460876">
              <w:marLeft w:val="0"/>
              <w:marRight w:val="0"/>
              <w:marTop w:val="0"/>
              <w:marBottom w:val="0"/>
              <w:divBdr>
                <w:top w:val="none" w:sz="0" w:space="0" w:color="auto"/>
                <w:left w:val="none" w:sz="0" w:space="0" w:color="auto"/>
                <w:bottom w:val="none" w:sz="0" w:space="0" w:color="auto"/>
                <w:right w:val="none" w:sz="0" w:space="0" w:color="auto"/>
              </w:divBdr>
            </w:div>
          </w:divsChild>
        </w:div>
        <w:div w:id="1260677275">
          <w:marLeft w:val="0"/>
          <w:marRight w:val="0"/>
          <w:marTop w:val="0"/>
          <w:marBottom w:val="0"/>
          <w:divBdr>
            <w:top w:val="none" w:sz="0" w:space="0" w:color="auto"/>
            <w:left w:val="none" w:sz="0" w:space="0" w:color="auto"/>
            <w:bottom w:val="none" w:sz="0" w:space="0" w:color="auto"/>
            <w:right w:val="none" w:sz="0" w:space="0" w:color="auto"/>
          </w:divBdr>
          <w:divsChild>
            <w:div w:id="368526953">
              <w:marLeft w:val="0"/>
              <w:marRight w:val="0"/>
              <w:marTop w:val="0"/>
              <w:marBottom w:val="0"/>
              <w:divBdr>
                <w:top w:val="none" w:sz="0" w:space="0" w:color="auto"/>
                <w:left w:val="none" w:sz="0" w:space="0" w:color="auto"/>
                <w:bottom w:val="none" w:sz="0" w:space="0" w:color="auto"/>
                <w:right w:val="none" w:sz="0" w:space="0" w:color="auto"/>
              </w:divBdr>
              <w:divsChild>
                <w:div w:id="389426133">
                  <w:marLeft w:val="0"/>
                  <w:marRight w:val="0"/>
                  <w:marTop w:val="0"/>
                  <w:marBottom w:val="0"/>
                  <w:divBdr>
                    <w:top w:val="none" w:sz="0" w:space="0" w:color="auto"/>
                    <w:left w:val="none" w:sz="0" w:space="0" w:color="auto"/>
                    <w:bottom w:val="none" w:sz="0" w:space="0" w:color="auto"/>
                    <w:right w:val="none" w:sz="0" w:space="0" w:color="auto"/>
                  </w:divBdr>
                  <w:divsChild>
                    <w:div w:id="569731744">
                      <w:marLeft w:val="0"/>
                      <w:marRight w:val="0"/>
                      <w:marTop w:val="0"/>
                      <w:marBottom w:val="0"/>
                      <w:divBdr>
                        <w:top w:val="none" w:sz="0" w:space="0" w:color="auto"/>
                        <w:left w:val="none" w:sz="0" w:space="0" w:color="auto"/>
                        <w:bottom w:val="none" w:sz="0" w:space="0" w:color="auto"/>
                        <w:right w:val="none" w:sz="0" w:space="0" w:color="auto"/>
                      </w:divBdr>
                      <w:divsChild>
                        <w:div w:id="1263607874">
                          <w:marLeft w:val="0"/>
                          <w:marRight w:val="0"/>
                          <w:marTop w:val="0"/>
                          <w:marBottom w:val="0"/>
                          <w:divBdr>
                            <w:top w:val="none" w:sz="0" w:space="0" w:color="auto"/>
                            <w:left w:val="none" w:sz="0" w:space="0" w:color="auto"/>
                            <w:bottom w:val="none" w:sz="0" w:space="0" w:color="auto"/>
                            <w:right w:val="none" w:sz="0" w:space="0" w:color="auto"/>
                          </w:divBdr>
                          <w:divsChild>
                            <w:div w:id="20060850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599026181">
      <w:bodyDiv w:val="1"/>
      <w:marLeft w:val="0"/>
      <w:marRight w:val="0"/>
      <w:marTop w:val="0"/>
      <w:marBottom w:val="0"/>
      <w:divBdr>
        <w:top w:val="none" w:sz="0" w:space="0" w:color="auto"/>
        <w:left w:val="none" w:sz="0" w:space="0" w:color="auto"/>
        <w:bottom w:val="none" w:sz="0" w:space="0" w:color="auto"/>
        <w:right w:val="none" w:sz="0" w:space="0" w:color="auto"/>
      </w:divBdr>
      <w:divsChild>
        <w:div w:id="1655791912">
          <w:marLeft w:val="0"/>
          <w:marRight w:val="0"/>
          <w:marTop w:val="0"/>
          <w:marBottom w:val="0"/>
          <w:divBdr>
            <w:top w:val="none" w:sz="0" w:space="0" w:color="auto"/>
            <w:left w:val="none" w:sz="0" w:space="0" w:color="auto"/>
            <w:bottom w:val="none" w:sz="0" w:space="0" w:color="auto"/>
            <w:right w:val="none" w:sz="0" w:space="0" w:color="auto"/>
          </w:divBdr>
          <w:divsChild>
            <w:div w:id="1106117512">
              <w:marLeft w:val="0"/>
              <w:marRight w:val="0"/>
              <w:marTop w:val="0"/>
              <w:marBottom w:val="0"/>
              <w:divBdr>
                <w:top w:val="none" w:sz="0" w:space="0" w:color="auto"/>
                <w:left w:val="none" w:sz="0" w:space="0" w:color="auto"/>
                <w:bottom w:val="none" w:sz="0" w:space="0" w:color="auto"/>
                <w:right w:val="none" w:sz="0" w:space="0" w:color="auto"/>
              </w:divBdr>
              <w:divsChild>
                <w:div w:id="1101224003">
                  <w:marLeft w:val="0"/>
                  <w:marRight w:val="0"/>
                  <w:marTop w:val="0"/>
                  <w:marBottom w:val="0"/>
                  <w:divBdr>
                    <w:top w:val="none" w:sz="0" w:space="0" w:color="auto"/>
                    <w:left w:val="none" w:sz="0" w:space="0" w:color="auto"/>
                    <w:bottom w:val="none" w:sz="0" w:space="0" w:color="auto"/>
                    <w:right w:val="none" w:sz="0" w:space="0" w:color="auto"/>
                  </w:divBdr>
                </w:div>
                <w:div w:id="887182834">
                  <w:marLeft w:val="0"/>
                  <w:marRight w:val="0"/>
                  <w:marTop w:val="0"/>
                  <w:marBottom w:val="0"/>
                  <w:divBdr>
                    <w:top w:val="none" w:sz="0" w:space="0" w:color="auto"/>
                    <w:left w:val="none" w:sz="0" w:space="0" w:color="auto"/>
                    <w:bottom w:val="none" w:sz="0" w:space="0" w:color="auto"/>
                    <w:right w:val="none" w:sz="0" w:space="0" w:color="auto"/>
                  </w:divBdr>
                </w:div>
              </w:divsChild>
            </w:div>
            <w:div w:id="704447634">
              <w:marLeft w:val="0"/>
              <w:marRight w:val="0"/>
              <w:marTop w:val="0"/>
              <w:marBottom w:val="0"/>
              <w:divBdr>
                <w:top w:val="none" w:sz="0" w:space="0" w:color="auto"/>
                <w:left w:val="none" w:sz="0" w:space="0" w:color="auto"/>
                <w:bottom w:val="none" w:sz="0" w:space="0" w:color="auto"/>
                <w:right w:val="none" w:sz="0" w:space="0" w:color="auto"/>
              </w:divBdr>
              <w:divsChild>
                <w:div w:id="17593224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8655554">
          <w:marLeft w:val="0"/>
          <w:marRight w:val="0"/>
          <w:marTop w:val="0"/>
          <w:marBottom w:val="0"/>
          <w:divBdr>
            <w:top w:val="none" w:sz="0" w:space="0" w:color="auto"/>
            <w:left w:val="none" w:sz="0" w:space="0" w:color="auto"/>
            <w:bottom w:val="none" w:sz="0" w:space="0" w:color="auto"/>
            <w:right w:val="none" w:sz="0" w:space="0" w:color="auto"/>
          </w:divBdr>
          <w:divsChild>
            <w:div w:id="777943483">
              <w:marLeft w:val="0"/>
              <w:marRight w:val="0"/>
              <w:marTop w:val="0"/>
              <w:marBottom w:val="0"/>
              <w:divBdr>
                <w:top w:val="none" w:sz="0" w:space="0" w:color="auto"/>
                <w:left w:val="none" w:sz="0" w:space="0" w:color="auto"/>
                <w:bottom w:val="none" w:sz="0" w:space="0" w:color="auto"/>
                <w:right w:val="none" w:sz="0" w:space="0" w:color="auto"/>
              </w:divBdr>
              <w:divsChild>
                <w:div w:id="1420953045">
                  <w:marLeft w:val="0"/>
                  <w:marRight w:val="0"/>
                  <w:marTop w:val="0"/>
                  <w:marBottom w:val="0"/>
                  <w:divBdr>
                    <w:top w:val="none" w:sz="0" w:space="0" w:color="auto"/>
                    <w:left w:val="none" w:sz="0" w:space="0" w:color="auto"/>
                    <w:bottom w:val="none" w:sz="0" w:space="0" w:color="auto"/>
                    <w:right w:val="none" w:sz="0" w:space="0" w:color="auto"/>
                  </w:divBdr>
                </w:div>
                <w:div w:id="10027072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64476660">
      <w:bodyDiv w:val="1"/>
      <w:marLeft w:val="0"/>
      <w:marRight w:val="0"/>
      <w:marTop w:val="0"/>
      <w:marBottom w:val="0"/>
      <w:divBdr>
        <w:top w:val="none" w:sz="0" w:space="0" w:color="auto"/>
        <w:left w:val="none" w:sz="0" w:space="0" w:color="auto"/>
        <w:bottom w:val="none" w:sz="0" w:space="0" w:color="auto"/>
        <w:right w:val="none" w:sz="0" w:space="0" w:color="auto"/>
      </w:divBdr>
      <w:divsChild>
        <w:div w:id="1395540218">
          <w:marLeft w:val="0"/>
          <w:marRight w:val="0"/>
          <w:marTop w:val="0"/>
          <w:marBottom w:val="0"/>
          <w:divBdr>
            <w:top w:val="none" w:sz="0" w:space="0" w:color="auto"/>
            <w:left w:val="none" w:sz="0" w:space="0" w:color="auto"/>
            <w:bottom w:val="none" w:sz="0" w:space="0" w:color="auto"/>
            <w:right w:val="none" w:sz="0" w:space="0" w:color="auto"/>
          </w:divBdr>
        </w:div>
        <w:div w:id="1385328491">
          <w:marLeft w:val="0"/>
          <w:marRight w:val="0"/>
          <w:marTop w:val="0"/>
          <w:marBottom w:val="0"/>
          <w:divBdr>
            <w:top w:val="none" w:sz="0" w:space="0" w:color="auto"/>
            <w:left w:val="none" w:sz="0" w:space="0" w:color="auto"/>
            <w:bottom w:val="none" w:sz="0" w:space="0" w:color="auto"/>
            <w:right w:val="none" w:sz="0" w:space="0" w:color="auto"/>
          </w:divBdr>
          <w:divsChild>
            <w:div w:id="2018267514">
              <w:marLeft w:val="0"/>
              <w:marRight w:val="0"/>
              <w:marTop w:val="0"/>
              <w:marBottom w:val="0"/>
              <w:divBdr>
                <w:top w:val="none" w:sz="0" w:space="0" w:color="auto"/>
                <w:left w:val="none" w:sz="0" w:space="0" w:color="auto"/>
                <w:bottom w:val="none" w:sz="0" w:space="0" w:color="auto"/>
                <w:right w:val="none" w:sz="0" w:space="0" w:color="auto"/>
              </w:divBdr>
              <w:divsChild>
                <w:div w:id="1660379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2628476">
          <w:marLeft w:val="0"/>
          <w:marRight w:val="0"/>
          <w:marTop w:val="0"/>
          <w:marBottom w:val="0"/>
          <w:divBdr>
            <w:top w:val="none" w:sz="0" w:space="0" w:color="auto"/>
            <w:left w:val="none" w:sz="0" w:space="0" w:color="auto"/>
            <w:bottom w:val="none" w:sz="0" w:space="0" w:color="auto"/>
            <w:right w:val="none" w:sz="0" w:space="0" w:color="auto"/>
          </w:divBdr>
          <w:divsChild>
            <w:div w:id="2006780469">
              <w:marLeft w:val="0"/>
              <w:marRight w:val="0"/>
              <w:marTop w:val="0"/>
              <w:marBottom w:val="0"/>
              <w:divBdr>
                <w:top w:val="none" w:sz="0" w:space="0" w:color="auto"/>
                <w:left w:val="none" w:sz="0" w:space="0" w:color="auto"/>
                <w:bottom w:val="none" w:sz="0" w:space="0" w:color="auto"/>
                <w:right w:val="none" w:sz="0" w:space="0" w:color="auto"/>
              </w:divBdr>
            </w:div>
            <w:div w:id="668681453">
              <w:marLeft w:val="0"/>
              <w:marRight w:val="0"/>
              <w:marTop w:val="0"/>
              <w:marBottom w:val="0"/>
              <w:divBdr>
                <w:top w:val="none" w:sz="0" w:space="0" w:color="auto"/>
                <w:left w:val="none" w:sz="0" w:space="0" w:color="auto"/>
                <w:bottom w:val="none" w:sz="0" w:space="0" w:color="auto"/>
                <w:right w:val="none" w:sz="0" w:space="0" w:color="auto"/>
              </w:divBdr>
            </w:div>
            <w:div w:id="1439565772">
              <w:marLeft w:val="0"/>
              <w:marRight w:val="0"/>
              <w:marTop w:val="0"/>
              <w:marBottom w:val="0"/>
              <w:divBdr>
                <w:top w:val="none" w:sz="0" w:space="0" w:color="auto"/>
                <w:left w:val="none" w:sz="0" w:space="0" w:color="auto"/>
                <w:bottom w:val="none" w:sz="0" w:space="0" w:color="auto"/>
                <w:right w:val="none" w:sz="0" w:space="0" w:color="auto"/>
              </w:divBdr>
            </w:div>
            <w:div w:id="6293618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3043374">
      <w:bodyDiv w:val="1"/>
      <w:marLeft w:val="0"/>
      <w:marRight w:val="0"/>
      <w:marTop w:val="0"/>
      <w:marBottom w:val="0"/>
      <w:divBdr>
        <w:top w:val="none" w:sz="0" w:space="0" w:color="auto"/>
        <w:left w:val="none" w:sz="0" w:space="0" w:color="auto"/>
        <w:bottom w:val="none" w:sz="0" w:space="0" w:color="auto"/>
        <w:right w:val="none" w:sz="0" w:space="0" w:color="auto"/>
      </w:divBdr>
      <w:divsChild>
        <w:div w:id="99840687">
          <w:marLeft w:val="0"/>
          <w:marRight w:val="0"/>
          <w:marTop w:val="0"/>
          <w:marBottom w:val="0"/>
          <w:divBdr>
            <w:top w:val="none" w:sz="0" w:space="0" w:color="auto"/>
            <w:left w:val="none" w:sz="0" w:space="0" w:color="auto"/>
            <w:bottom w:val="none" w:sz="0" w:space="0" w:color="auto"/>
            <w:right w:val="none" w:sz="0" w:space="0" w:color="auto"/>
          </w:divBdr>
          <w:divsChild>
            <w:div w:id="550266924">
              <w:marLeft w:val="0"/>
              <w:marRight w:val="0"/>
              <w:marTop w:val="0"/>
              <w:marBottom w:val="0"/>
              <w:divBdr>
                <w:top w:val="none" w:sz="0" w:space="0" w:color="auto"/>
                <w:left w:val="none" w:sz="0" w:space="0" w:color="auto"/>
                <w:bottom w:val="none" w:sz="0" w:space="0" w:color="auto"/>
                <w:right w:val="none" w:sz="0" w:space="0" w:color="auto"/>
              </w:divBdr>
              <w:divsChild>
                <w:div w:id="12151240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3644211">
          <w:marLeft w:val="0"/>
          <w:marRight w:val="0"/>
          <w:marTop w:val="0"/>
          <w:marBottom w:val="0"/>
          <w:divBdr>
            <w:top w:val="none" w:sz="0" w:space="0" w:color="auto"/>
            <w:left w:val="none" w:sz="0" w:space="0" w:color="auto"/>
            <w:bottom w:val="none" w:sz="0" w:space="0" w:color="auto"/>
            <w:right w:val="none" w:sz="0" w:space="0" w:color="auto"/>
          </w:divBdr>
          <w:divsChild>
            <w:div w:id="9902586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69543165">
      <w:bodyDiv w:val="1"/>
      <w:marLeft w:val="0"/>
      <w:marRight w:val="0"/>
      <w:marTop w:val="0"/>
      <w:marBottom w:val="0"/>
      <w:divBdr>
        <w:top w:val="none" w:sz="0" w:space="0" w:color="auto"/>
        <w:left w:val="none" w:sz="0" w:space="0" w:color="auto"/>
        <w:bottom w:val="none" w:sz="0" w:space="0" w:color="auto"/>
        <w:right w:val="none" w:sz="0" w:space="0" w:color="auto"/>
      </w:divBdr>
      <w:divsChild>
        <w:div w:id="362676260">
          <w:marLeft w:val="0"/>
          <w:marRight w:val="0"/>
          <w:marTop w:val="0"/>
          <w:marBottom w:val="0"/>
          <w:divBdr>
            <w:top w:val="none" w:sz="0" w:space="0" w:color="auto"/>
            <w:left w:val="none" w:sz="0" w:space="0" w:color="auto"/>
            <w:bottom w:val="none" w:sz="0" w:space="0" w:color="auto"/>
            <w:right w:val="none" w:sz="0" w:space="0" w:color="auto"/>
          </w:divBdr>
          <w:divsChild>
            <w:div w:id="388039747">
              <w:marLeft w:val="0"/>
              <w:marRight w:val="0"/>
              <w:marTop w:val="0"/>
              <w:marBottom w:val="0"/>
              <w:divBdr>
                <w:top w:val="none" w:sz="0" w:space="0" w:color="auto"/>
                <w:left w:val="none" w:sz="0" w:space="0" w:color="auto"/>
                <w:bottom w:val="none" w:sz="0" w:space="0" w:color="auto"/>
                <w:right w:val="none" w:sz="0" w:space="0" w:color="auto"/>
              </w:divBdr>
              <w:divsChild>
                <w:div w:id="1271281952">
                  <w:marLeft w:val="0"/>
                  <w:marRight w:val="0"/>
                  <w:marTop w:val="0"/>
                  <w:marBottom w:val="0"/>
                  <w:divBdr>
                    <w:top w:val="none" w:sz="0" w:space="0" w:color="auto"/>
                    <w:left w:val="none" w:sz="0" w:space="0" w:color="auto"/>
                    <w:bottom w:val="none" w:sz="0" w:space="0" w:color="auto"/>
                    <w:right w:val="none" w:sz="0" w:space="0" w:color="auto"/>
                  </w:divBdr>
                  <w:divsChild>
                    <w:div w:id="16169786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36922099">
          <w:marLeft w:val="0"/>
          <w:marRight w:val="0"/>
          <w:marTop w:val="0"/>
          <w:marBottom w:val="0"/>
          <w:divBdr>
            <w:top w:val="none" w:sz="0" w:space="0" w:color="auto"/>
            <w:left w:val="none" w:sz="0" w:space="0" w:color="auto"/>
            <w:bottom w:val="none" w:sz="0" w:space="0" w:color="auto"/>
            <w:right w:val="none" w:sz="0" w:space="0" w:color="auto"/>
          </w:divBdr>
          <w:divsChild>
            <w:div w:id="1143237787">
              <w:marLeft w:val="0"/>
              <w:marRight w:val="0"/>
              <w:marTop w:val="0"/>
              <w:marBottom w:val="0"/>
              <w:divBdr>
                <w:top w:val="none" w:sz="0" w:space="0" w:color="auto"/>
                <w:left w:val="none" w:sz="0" w:space="0" w:color="auto"/>
                <w:bottom w:val="none" w:sz="0" w:space="0" w:color="auto"/>
                <w:right w:val="none" w:sz="0" w:space="0" w:color="auto"/>
              </w:divBdr>
              <w:divsChild>
                <w:div w:id="9525904">
                  <w:marLeft w:val="0"/>
                  <w:marRight w:val="0"/>
                  <w:marTop w:val="0"/>
                  <w:marBottom w:val="0"/>
                  <w:divBdr>
                    <w:top w:val="none" w:sz="0" w:space="0" w:color="auto"/>
                    <w:left w:val="none" w:sz="0" w:space="0" w:color="auto"/>
                    <w:bottom w:val="none" w:sz="0" w:space="0" w:color="auto"/>
                    <w:right w:val="none" w:sz="0" w:space="0" w:color="auto"/>
                  </w:divBdr>
                </w:div>
                <w:div w:id="1609582132">
                  <w:marLeft w:val="0"/>
                  <w:marRight w:val="0"/>
                  <w:marTop w:val="0"/>
                  <w:marBottom w:val="0"/>
                  <w:divBdr>
                    <w:top w:val="none" w:sz="0" w:space="0" w:color="auto"/>
                    <w:left w:val="none" w:sz="0" w:space="0" w:color="auto"/>
                    <w:bottom w:val="none" w:sz="0" w:space="0" w:color="auto"/>
                    <w:right w:val="none" w:sz="0" w:space="0" w:color="auto"/>
                  </w:divBdr>
                  <w:divsChild>
                    <w:div w:id="228882119">
                      <w:marLeft w:val="0"/>
                      <w:marRight w:val="0"/>
                      <w:marTop w:val="0"/>
                      <w:marBottom w:val="0"/>
                      <w:divBdr>
                        <w:top w:val="none" w:sz="0" w:space="0" w:color="auto"/>
                        <w:left w:val="none" w:sz="0" w:space="0" w:color="auto"/>
                        <w:bottom w:val="none" w:sz="0" w:space="0" w:color="auto"/>
                        <w:right w:val="none" w:sz="0" w:space="0" w:color="auto"/>
                      </w:divBdr>
                      <w:divsChild>
                        <w:div w:id="513767096">
                          <w:marLeft w:val="0"/>
                          <w:marRight w:val="0"/>
                          <w:marTop w:val="0"/>
                          <w:marBottom w:val="0"/>
                          <w:divBdr>
                            <w:top w:val="none" w:sz="0" w:space="0" w:color="auto"/>
                            <w:left w:val="none" w:sz="0" w:space="0" w:color="auto"/>
                            <w:bottom w:val="none" w:sz="0" w:space="0" w:color="auto"/>
                            <w:right w:val="none" w:sz="0" w:space="0" w:color="auto"/>
                          </w:divBdr>
                          <w:divsChild>
                            <w:div w:id="17137313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68039651">
          <w:marLeft w:val="0"/>
          <w:marRight w:val="0"/>
          <w:marTop w:val="0"/>
          <w:marBottom w:val="0"/>
          <w:divBdr>
            <w:top w:val="none" w:sz="0" w:space="0" w:color="auto"/>
            <w:left w:val="none" w:sz="0" w:space="0" w:color="auto"/>
            <w:bottom w:val="none" w:sz="0" w:space="0" w:color="auto"/>
            <w:right w:val="none" w:sz="0" w:space="0" w:color="auto"/>
          </w:divBdr>
          <w:divsChild>
            <w:div w:id="1518302792">
              <w:marLeft w:val="0"/>
              <w:marRight w:val="0"/>
              <w:marTop w:val="0"/>
              <w:marBottom w:val="0"/>
              <w:divBdr>
                <w:top w:val="none" w:sz="0" w:space="0" w:color="auto"/>
                <w:left w:val="none" w:sz="0" w:space="0" w:color="auto"/>
                <w:bottom w:val="none" w:sz="0" w:space="0" w:color="auto"/>
                <w:right w:val="none" w:sz="0" w:space="0" w:color="auto"/>
              </w:divBdr>
            </w:div>
            <w:div w:id="1040478579">
              <w:marLeft w:val="0"/>
              <w:marRight w:val="0"/>
              <w:marTop w:val="0"/>
              <w:marBottom w:val="0"/>
              <w:divBdr>
                <w:top w:val="none" w:sz="0" w:space="0" w:color="auto"/>
                <w:left w:val="none" w:sz="0" w:space="0" w:color="auto"/>
                <w:bottom w:val="none" w:sz="0" w:space="0" w:color="auto"/>
                <w:right w:val="none" w:sz="0" w:space="0" w:color="auto"/>
              </w:divBdr>
              <w:divsChild>
                <w:div w:id="581524198">
                  <w:marLeft w:val="0"/>
                  <w:marRight w:val="0"/>
                  <w:marTop w:val="0"/>
                  <w:marBottom w:val="0"/>
                  <w:divBdr>
                    <w:top w:val="none" w:sz="0" w:space="0" w:color="auto"/>
                    <w:left w:val="none" w:sz="0" w:space="0" w:color="auto"/>
                    <w:bottom w:val="none" w:sz="0" w:space="0" w:color="auto"/>
                    <w:right w:val="none" w:sz="0" w:space="0" w:color="auto"/>
                  </w:divBdr>
                  <w:divsChild>
                    <w:div w:id="1847939369">
                      <w:marLeft w:val="0"/>
                      <w:marRight w:val="0"/>
                      <w:marTop w:val="0"/>
                      <w:marBottom w:val="0"/>
                      <w:divBdr>
                        <w:top w:val="none" w:sz="0" w:space="0" w:color="auto"/>
                        <w:left w:val="none" w:sz="0" w:space="0" w:color="auto"/>
                        <w:bottom w:val="none" w:sz="0" w:space="0" w:color="auto"/>
                        <w:right w:val="none" w:sz="0" w:space="0" w:color="auto"/>
                      </w:divBdr>
                      <w:divsChild>
                        <w:div w:id="225461953">
                          <w:marLeft w:val="0"/>
                          <w:marRight w:val="0"/>
                          <w:marTop w:val="0"/>
                          <w:marBottom w:val="0"/>
                          <w:divBdr>
                            <w:top w:val="none" w:sz="0" w:space="0" w:color="auto"/>
                            <w:left w:val="none" w:sz="0" w:space="0" w:color="auto"/>
                            <w:bottom w:val="none" w:sz="0" w:space="0" w:color="auto"/>
                            <w:right w:val="none" w:sz="0" w:space="0" w:color="auto"/>
                          </w:divBdr>
                          <w:divsChild>
                            <w:div w:id="16196082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796264045">
      <w:bodyDiv w:val="1"/>
      <w:marLeft w:val="0"/>
      <w:marRight w:val="0"/>
      <w:marTop w:val="0"/>
      <w:marBottom w:val="0"/>
      <w:divBdr>
        <w:top w:val="none" w:sz="0" w:space="0" w:color="auto"/>
        <w:left w:val="none" w:sz="0" w:space="0" w:color="auto"/>
        <w:bottom w:val="none" w:sz="0" w:space="0" w:color="auto"/>
        <w:right w:val="none" w:sz="0" w:space="0" w:color="auto"/>
      </w:divBdr>
      <w:divsChild>
        <w:div w:id="65960026">
          <w:marLeft w:val="0"/>
          <w:marRight w:val="0"/>
          <w:marTop w:val="0"/>
          <w:marBottom w:val="0"/>
          <w:divBdr>
            <w:top w:val="none" w:sz="0" w:space="0" w:color="auto"/>
            <w:left w:val="none" w:sz="0" w:space="0" w:color="auto"/>
            <w:bottom w:val="none" w:sz="0" w:space="0" w:color="auto"/>
            <w:right w:val="none" w:sz="0" w:space="0" w:color="auto"/>
          </w:divBdr>
          <w:divsChild>
            <w:div w:id="818763733">
              <w:marLeft w:val="0"/>
              <w:marRight w:val="0"/>
              <w:marTop w:val="0"/>
              <w:marBottom w:val="0"/>
              <w:divBdr>
                <w:top w:val="none" w:sz="0" w:space="0" w:color="auto"/>
                <w:left w:val="none" w:sz="0" w:space="0" w:color="auto"/>
                <w:bottom w:val="none" w:sz="0" w:space="0" w:color="auto"/>
                <w:right w:val="none" w:sz="0" w:space="0" w:color="auto"/>
              </w:divBdr>
            </w:div>
            <w:div w:id="7884722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3931371">
      <w:bodyDiv w:val="1"/>
      <w:marLeft w:val="0"/>
      <w:marRight w:val="0"/>
      <w:marTop w:val="0"/>
      <w:marBottom w:val="0"/>
      <w:divBdr>
        <w:top w:val="none" w:sz="0" w:space="0" w:color="auto"/>
        <w:left w:val="none" w:sz="0" w:space="0" w:color="auto"/>
        <w:bottom w:val="none" w:sz="0" w:space="0" w:color="auto"/>
        <w:right w:val="none" w:sz="0" w:space="0" w:color="auto"/>
      </w:divBdr>
      <w:divsChild>
        <w:div w:id="1324048211">
          <w:marLeft w:val="0"/>
          <w:marRight w:val="0"/>
          <w:marTop w:val="0"/>
          <w:marBottom w:val="0"/>
          <w:divBdr>
            <w:top w:val="none" w:sz="0" w:space="0" w:color="auto"/>
            <w:left w:val="none" w:sz="0" w:space="0" w:color="auto"/>
            <w:bottom w:val="none" w:sz="0" w:space="0" w:color="auto"/>
            <w:right w:val="none" w:sz="0" w:space="0" w:color="auto"/>
          </w:divBdr>
        </w:div>
        <w:div w:id="225726142">
          <w:marLeft w:val="0"/>
          <w:marRight w:val="0"/>
          <w:marTop w:val="0"/>
          <w:marBottom w:val="0"/>
          <w:divBdr>
            <w:top w:val="none" w:sz="0" w:space="0" w:color="auto"/>
            <w:left w:val="none" w:sz="0" w:space="0" w:color="auto"/>
            <w:bottom w:val="none" w:sz="0" w:space="0" w:color="auto"/>
            <w:right w:val="none" w:sz="0" w:space="0" w:color="auto"/>
          </w:divBdr>
          <w:divsChild>
            <w:div w:id="1561864290">
              <w:marLeft w:val="0"/>
              <w:marRight w:val="0"/>
              <w:marTop w:val="0"/>
              <w:marBottom w:val="0"/>
              <w:divBdr>
                <w:top w:val="none" w:sz="0" w:space="0" w:color="auto"/>
                <w:left w:val="none" w:sz="0" w:space="0" w:color="auto"/>
                <w:bottom w:val="none" w:sz="0" w:space="0" w:color="auto"/>
                <w:right w:val="none" w:sz="0" w:space="0" w:color="auto"/>
              </w:divBdr>
              <w:divsChild>
                <w:div w:id="308290110">
                  <w:marLeft w:val="150"/>
                  <w:marRight w:val="0"/>
                  <w:marTop w:val="0"/>
                  <w:marBottom w:val="0"/>
                  <w:divBdr>
                    <w:top w:val="none" w:sz="0" w:space="0" w:color="auto"/>
                    <w:left w:val="none" w:sz="0" w:space="0" w:color="auto"/>
                    <w:bottom w:val="none" w:sz="0" w:space="0" w:color="auto"/>
                    <w:right w:val="none" w:sz="0" w:space="0" w:color="auto"/>
                  </w:divBdr>
                </w:div>
                <w:div w:id="626352487">
                  <w:marLeft w:val="150"/>
                  <w:marRight w:val="0"/>
                  <w:marTop w:val="0"/>
                  <w:marBottom w:val="0"/>
                  <w:divBdr>
                    <w:top w:val="none" w:sz="0" w:space="0" w:color="auto"/>
                    <w:left w:val="none" w:sz="0" w:space="0" w:color="auto"/>
                    <w:bottom w:val="single" w:sz="6" w:space="4" w:color="993366"/>
                    <w:right w:val="none" w:sz="0" w:space="0" w:color="auto"/>
                  </w:divBdr>
                </w:div>
                <w:div w:id="1680547202">
                  <w:marLeft w:val="150"/>
                  <w:marRight w:val="0"/>
                  <w:marTop w:val="0"/>
                  <w:marBottom w:val="0"/>
                  <w:divBdr>
                    <w:top w:val="none" w:sz="0" w:space="0" w:color="auto"/>
                    <w:left w:val="none" w:sz="0" w:space="0" w:color="auto"/>
                    <w:bottom w:val="single" w:sz="6" w:space="4" w:color="993366"/>
                    <w:right w:val="none" w:sz="0" w:space="0" w:color="auto"/>
                  </w:divBdr>
                </w:div>
                <w:div w:id="356276249">
                  <w:marLeft w:val="150"/>
                  <w:marRight w:val="0"/>
                  <w:marTop w:val="0"/>
                  <w:marBottom w:val="0"/>
                  <w:divBdr>
                    <w:top w:val="none" w:sz="0" w:space="0" w:color="auto"/>
                    <w:left w:val="none" w:sz="0" w:space="0" w:color="auto"/>
                    <w:bottom w:val="single" w:sz="6" w:space="4" w:color="993366"/>
                    <w:right w:val="none" w:sz="0" w:space="0" w:color="auto"/>
                  </w:divBdr>
                </w:div>
              </w:divsChild>
            </w:div>
            <w:div w:id="356541384">
              <w:marLeft w:val="0"/>
              <w:marRight w:val="0"/>
              <w:marTop w:val="0"/>
              <w:marBottom w:val="0"/>
              <w:divBdr>
                <w:top w:val="none" w:sz="0" w:space="0" w:color="auto"/>
                <w:left w:val="none" w:sz="0" w:space="0" w:color="auto"/>
                <w:bottom w:val="none" w:sz="0" w:space="0" w:color="auto"/>
                <w:right w:val="none" w:sz="0" w:space="0" w:color="auto"/>
              </w:divBdr>
            </w:div>
          </w:divsChild>
        </w:div>
        <w:div w:id="1473018376">
          <w:marLeft w:val="0"/>
          <w:marRight w:val="0"/>
          <w:marTop w:val="0"/>
          <w:marBottom w:val="0"/>
          <w:divBdr>
            <w:top w:val="none" w:sz="0" w:space="0" w:color="auto"/>
            <w:left w:val="none" w:sz="0" w:space="0" w:color="auto"/>
            <w:bottom w:val="none" w:sz="0" w:space="0" w:color="auto"/>
            <w:right w:val="none" w:sz="0" w:space="0" w:color="auto"/>
          </w:divBdr>
          <w:divsChild>
            <w:div w:id="2026468949">
              <w:marLeft w:val="0"/>
              <w:marRight w:val="0"/>
              <w:marTop w:val="0"/>
              <w:marBottom w:val="0"/>
              <w:divBdr>
                <w:top w:val="none" w:sz="0" w:space="0" w:color="auto"/>
                <w:left w:val="none" w:sz="0" w:space="0" w:color="auto"/>
                <w:bottom w:val="none" w:sz="0" w:space="0" w:color="auto"/>
                <w:right w:val="none" w:sz="0" w:space="0" w:color="auto"/>
              </w:divBdr>
            </w:div>
          </w:divsChild>
        </w:div>
        <w:div w:id="701907453">
          <w:marLeft w:val="0"/>
          <w:marRight w:val="0"/>
          <w:marTop w:val="0"/>
          <w:marBottom w:val="0"/>
          <w:divBdr>
            <w:top w:val="none" w:sz="0" w:space="0" w:color="auto"/>
            <w:left w:val="none" w:sz="0" w:space="0" w:color="auto"/>
            <w:bottom w:val="none" w:sz="0" w:space="0" w:color="auto"/>
            <w:right w:val="none" w:sz="0" w:space="0" w:color="auto"/>
          </w:divBdr>
          <w:divsChild>
            <w:div w:id="207377265">
              <w:marLeft w:val="0"/>
              <w:marRight w:val="0"/>
              <w:marTop w:val="0"/>
              <w:marBottom w:val="0"/>
              <w:divBdr>
                <w:top w:val="none" w:sz="0" w:space="0" w:color="auto"/>
                <w:left w:val="none" w:sz="0" w:space="0" w:color="auto"/>
                <w:bottom w:val="none" w:sz="0" w:space="0" w:color="auto"/>
                <w:right w:val="none" w:sz="0" w:space="0" w:color="auto"/>
              </w:divBdr>
              <w:divsChild>
                <w:div w:id="1337806507">
                  <w:marLeft w:val="4500"/>
                  <w:marRight w:val="0"/>
                  <w:marTop w:val="0"/>
                  <w:marBottom w:val="0"/>
                  <w:divBdr>
                    <w:top w:val="none" w:sz="0" w:space="0" w:color="auto"/>
                    <w:left w:val="none" w:sz="0" w:space="0" w:color="auto"/>
                    <w:bottom w:val="none" w:sz="0" w:space="0" w:color="auto"/>
                    <w:right w:val="none" w:sz="0" w:space="0" w:color="auto"/>
                  </w:divBdr>
                </w:div>
              </w:divsChild>
            </w:div>
          </w:divsChild>
        </w:div>
        <w:div w:id="1102728905">
          <w:marLeft w:val="0"/>
          <w:marRight w:val="0"/>
          <w:marTop w:val="0"/>
          <w:marBottom w:val="0"/>
          <w:divBdr>
            <w:top w:val="none" w:sz="0" w:space="0" w:color="auto"/>
            <w:left w:val="none" w:sz="0" w:space="0" w:color="auto"/>
            <w:bottom w:val="none" w:sz="0" w:space="0" w:color="auto"/>
            <w:right w:val="none" w:sz="0" w:space="0" w:color="auto"/>
          </w:divBdr>
          <w:divsChild>
            <w:div w:id="1753501319">
              <w:marLeft w:val="0"/>
              <w:marRight w:val="0"/>
              <w:marTop w:val="0"/>
              <w:marBottom w:val="0"/>
              <w:divBdr>
                <w:top w:val="none" w:sz="0" w:space="0" w:color="auto"/>
                <w:left w:val="none" w:sz="0" w:space="0" w:color="auto"/>
                <w:bottom w:val="none" w:sz="0" w:space="0" w:color="auto"/>
                <w:right w:val="none" w:sz="0" w:space="0" w:color="auto"/>
              </w:divBdr>
              <w:divsChild>
                <w:div w:id="6796962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8742785">
          <w:marLeft w:val="0"/>
          <w:marRight w:val="0"/>
          <w:marTop w:val="0"/>
          <w:marBottom w:val="0"/>
          <w:divBdr>
            <w:top w:val="none" w:sz="0" w:space="0" w:color="auto"/>
            <w:left w:val="none" w:sz="0" w:space="0" w:color="auto"/>
            <w:bottom w:val="none" w:sz="0" w:space="0" w:color="auto"/>
            <w:right w:val="none" w:sz="0" w:space="0" w:color="auto"/>
          </w:divBdr>
          <w:divsChild>
            <w:div w:id="125314596">
              <w:marLeft w:val="0"/>
              <w:marRight w:val="0"/>
              <w:marTop w:val="0"/>
              <w:marBottom w:val="0"/>
              <w:divBdr>
                <w:top w:val="none" w:sz="0" w:space="0" w:color="auto"/>
                <w:left w:val="none" w:sz="0" w:space="0" w:color="auto"/>
                <w:bottom w:val="none" w:sz="0" w:space="0" w:color="auto"/>
                <w:right w:val="none" w:sz="0" w:space="0" w:color="auto"/>
              </w:divBdr>
              <w:divsChild>
                <w:div w:id="3943970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4768875">
          <w:marLeft w:val="0"/>
          <w:marRight w:val="0"/>
          <w:marTop w:val="0"/>
          <w:marBottom w:val="0"/>
          <w:divBdr>
            <w:top w:val="none" w:sz="0" w:space="0" w:color="auto"/>
            <w:left w:val="none" w:sz="0" w:space="0" w:color="auto"/>
            <w:bottom w:val="none" w:sz="0" w:space="0" w:color="auto"/>
            <w:right w:val="none" w:sz="0" w:space="0" w:color="auto"/>
          </w:divBdr>
          <w:divsChild>
            <w:div w:id="2053461455">
              <w:marLeft w:val="0"/>
              <w:marRight w:val="0"/>
              <w:marTop w:val="0"/>
              <w:marBottom w:val="0"/>
              <w:divBdr>
                <w:top w:val="none" w:sz="0" w:space="0" w:color="auto"/>
                <w:left w:val="none" w:sz="0" w:space="0" w:color="auto"/>
                <w:bottom w:val="none" w:sz="0" w:space="0" w:color="auto"/>
                <w:right w:val="none" w:sz="0" w:space="0" w:color="auto"/>
              </w:divBdr>
              <w:divsChild>
                <w:div w:id="5978327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1912055">
          <w:marLeft w:val="0"/>
          <w:marRight w:val="0"/>
          <w:marTop w:val="0"/>
          <w:marBottom w:val="0"/>
          <w:divBdr>
            <w:top w:val="none" w:sz="0" w:space="0" w:color="auto"/>
            <w:left w:val="none" w:sz="0" w:space="0" w:color="auto"/>
            <w:bottom w:val="none" w:sz="0" w:space="0" w:color="auto"/>
            <w:right w:val="none" w:sz="0" w:space="0" w:color="auto"/>
          </w:divBdr>
          <w:divsChild>
            <w:div w:id="348986881">
              <w:marLeft w:val="0"/>
              <w:marRight w:val="0"/>
              <w:marTop w:val="0"/>
              <w:marBottom w:val="0"/>
              <w:divBdr>
                <w:top w:val="none" w:sz="0" w:space="0" w:color="auto"/>
                <w:left w:val="none" w:sz="0" w:space="0" w:color="auto"/>
                <w:bottom w:val="none" w:sz="0" w:space="0" w:color="auto"/>
                <w:right w:val="none" w:sz="0" w:space="0" w:color="auto"/>
              </w:divBdr>
              <w:divsChild>
                <w:div w:id="968514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173171">
          <w:marLeft w:val="0"/>
          <w:marRight w:val="0"/>
          <w:marTop w:val="0"/>
          <w:marBottom w:val="0"/>
          <w:divBdr>
            <w:top w:val="none" w:sz="0" w:space="0" w:color="auto"/>
            <w:left w:val="none" w:sz="0" w:space="0" w:color="auto"/>
            <w:bottom w:val="none" w:sz="0" w:space="0" w:color="auto"/>
            <w:right w:val="none" w:sz="0" w:space="0" w:color="auto"/>
          </w:divBdr>
          <w:divsChild>
            <w:div w:id="844169710">
              <w:marLeft w:val="0"/>
              <w:marRight w:val="0"/>
              <w:marTop w:val="0"/>
              <w:marBottom w:val="0"/>
              <w:divBdr>
                <w:top w:val="none" w:sz="0" w:space="0" w:color="auto"/>
                <w:left w:val="none" w:sz="0" w:space="0" w:color="auto"/>
                <w:bottom w:val="none" w:sz="0" w:space="0" w:color="auto"/>
                <w:right w:val="none" w:sz="0" w:space="0" w:color="auto"/>
              </w:divBdr>
              <w:divsChild>
                <w:div w:id="609354827">
                  <w:marLeft w:val="4500"/>
                  <w:marRight w:val="0"/>
                  <w:marTop w:val="0"/>
                  <w:marBottom w:val="0"/>
                  <w:divBdr>
                    <w:top w:val="none" w:sz="0" w:space="0" w:color="auto"/>
                    <w:left w:val="none" w:sz="0" w:space="0" w:color="auto"/>
                    <w:bottom w:val="none" w:sz="0" w:space="0" w:color="auto"/>
                    <w:right w:val="none" w:sz="0" w:space="0" w:color="auto"/>
                  </w:divBdr>
                </w:div>
              </w:divsChild>
            </w:div>
          </w:divsChild>
        </w:div>
        <w:div w:id="128480483">
          <w:marLeft w:val="0"/>
          <w:marRight w:val="0"/>
          <w:marTop w:val="0"/>
          <w:marBottom w:val="0"/>
          <w:divBdr>
            <w:top w:val="none" w:sz="0" w:space="0" w:color="auto"/>
            <w:left w:val="none" w:sz="0" w:space="0" w:color="auto"/>
            <w:bottom w:val="none" w:sz="0" w:space="0" w:color="auto"/>
            <w:right w:val="none" w:sz="0" w:space="0" w:color="auto"/>
          </w:divBdr>
          <w:divsChild>
            <w:div w:id="2060275608">
              <w:marLeft w:val="0"/>
              <w:marRight w:val="0"/>
              <w:marTop w:val="0"/>
              <w:marBottom w:val="0"/>
              <w:divBdr>
                <w:top w:val="none" w:sz="0" w:space="0" w:color="auto"/>
                <w:left w:val="none" w:sz="0" w:space="0" w:color="auto"/>
                <w:bottom w:val="none" w:sz="0" w:space="0" w:color="auto"/>
                <w:right w:val="none" w:sz="0" w:space="0" w:color="auto"/>
              </w:divBdr>
              <w:divsChild>
                <w:div w:id="3724601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3316606">
          <w:marLeft w:val="0"/>
          <w:marRight w:val="0"/>
          <w:marTop w:val="0"/>
          <w:marBottom w:val="0"/>
          <w:divBdr>
            <w:top w:val="none" w:sz="0" w:space="0" w:color="auto"/>
            <w:left w:val="none" w:sz="0" w:space="0" w:color="auto"/>
            <w:bottom w:val="none" w:sz="0" w:space="0" w:color="auto"/>
            <w:right w:val="none" w:sz="0" w:space="0" w:color="auto"/>
          </w:divBdr>
          <w:divsChild>
            <w:div w:id="2072071525">
              <w:marLeft w:val="0"/>
              <w:marRight w:val="0"/>
              <w:marTop w:val="0"/>
              <w:marBottom w:val="0"/>
              <w:divBdr>
                <w:top w:val="none" w:sz="0" w:space="0" w:color="auto"/>
                <w:left w:val="none" w:sz="0" w:space="0" w:color="auto"/>
                <w:bottom w:val="none" w:sz="0" w:space="0" w:color="auto"/>
                <w:right w:val="none" w:sz="0" w:space="0" w:color="auto"/>
              </w:divBdr>
              <w:divsChild>
                <w:div w:id="15739243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6422866">
          <w:marLeft w:val="0"/>
          <w:marRight w:val="0"/>
          <w:marTop w:val="0"/>
          <w:marBottom w:val="0"/>
          <w:divBdr>
            <w:top w:val="none" w:sz="0" w:space="0" w:color="auto"/>
            <w:left w:val="none" w:sz="0" w:space="0" w:color="auto"/>
            <w:bottom w:val="none" w:sz="0" w:space="0" w:color="auto"/>
            <w:right w:val="none" w:sz="0" w:space="0" w:color="auto"/>
          </w:divBdr>
          <w:divsChild>
            <w:div w:id="406192759">
              <w:marLeft w:val="0"/>
              <w:marRight w:val="0"/>
              <w:marTop w:val="0"/>
              <w:marBottom w:val="0"/>
              <w:divBdr>
                <w:top w:val="none" w:sz="0" w:space="0" w:color="auto"/>
                <w:left w:val="none" w:sz="0" w:space="0" w:color="auto"/>
                <w:bottom w:val="none" w:sz="0" w:space="0" w:color="auto"/>
                <w:right w:val="none" w:sz="0" w:space="0" w:color="auto"/>
              </w:divBdr>
              <w:divsChild>
                <w:div w:id="7898596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72500664">
      <w:bodyDiv w:val="1"/>
      <w:marLeft w:val="0"/>
      <w:marRight w:val="0"/>
      <w:marTop w:val="0"/>
      <w:marBottom w:val="0"/>
      <w:divBdr>
        <w:top w:val="none" w:sz="0" w:space="0" w:color="auto"/>
        <w:left w:val="none" w:sz="0" w:space="0" w:color="auto"/>
        <w:bottom w:val="none" w:sz="0" w:space="0" w:color="auto"/>
        <w:right w:val="none" w:sz="0" w:space="0" w:color="auto"/>
      </w:divBdr>
    </w:div>
    <w:div w:id="1229264632">
      <w:bodyDiv w:val="1"/>
      <w:marLeft w:val="0"/>
      <w:marRight w:val="0"/>
      <w:marTop w:val="0"/>
      <w:marBottom w:val="0"/>
      <w:divBdr>
        <w:top w:val="none" w:sz="0" w:space="0" w:color="auto"/>
        <w:left w:val="none" w:sz="0" w:space="0" w:color="auto"/>
        <w:bottom w:val="none" w:sz="0" w:space="0" w:color="auto"/>
        <w:right w:val="none" w:sz="0" w:space="0" w:color="auto"/>
      </w:divBdr>
      <w:divsChild>
        <w:div w:id="479855045">
          <w:marLeft w:val="0"/>
          <w:marRight w:val="0"/>
          <w:marTop w:val="0"/>
          <w:marBottom w:val="0"/>
          <w:divBdr>
            <w:top w:val="none" w:sz="0" w:space="0" w:color="auto"/>
            <w:left w:val="none" w:sz="0" w:space="0" w:color="auto"/>
            <w:bottom w:val="none" w:sz="0" w:space="0" w:color="auto"/>
            <w:right w:val="none" w:sz="0" w:space="0" w:color="auto"/>
          </w:divBdr>
        </w:div>
        <w:div w:id="189879736">
          <w:marLeft w:val="0"/>
          <w:marRight w:val="0"/>
          <w:marTop w:val="0"/>
          <w:marBottom w:val="0"/>
          <w:divBdr>
            <w:top w:val="none" w:sz="0" w:space="0" w:color="auto"/>
            <w:left w:val="none" w:sz="0" w:space="0" w:color="auto"/>
            <w:bottom w:val="none" w:sz="0" w:space="0" w:color="auto"/>
            <w:right w:val="none" w:sz="0" w:space="0" w:color="auto"/>
          </w:divBdr>
          <w:divsChild>
            <w:div w:id="545603025">
              <w:marLeft w:val="0"/>
              <w:marRight w:val="0"/>
              <w:marTop w:val="0"/>
              <w:marBottom w:val="0"/>
              <w:divBdr>
                <w:top w:val="none" w:sz="0" w:space="0" w:color="auto"/>
                <w:left w:val="none" w:sz="0" w:space="0" w:color="auto"/>
                <w:bottom w:val="none" w:sz="0" w:space="0" w:color="auto"/>
                <w:right w:val="none" w:sz="0" w:space="0" w:color="auto"/>
              </w:divBdr>
              <w:divsChild>
                <w:div w:id="1734350283">
                  <w:marLeft w:val="0"/>
                  <w:marRight w:val="0"/>
                  <w:marTop w:val="0"/>
                  <w:marBottom w:val="0"/>
                  <w:divBdr>
                    <w:top w:val="none" w:sz="0" w:space="0" w:color="auto"/>
                    <w:left w:val="none" w:sz="0" w:space="0" w:color="auto"/>
                    <w:bottom w:val="none" w:sz="0" w:space="0" w:color="auto"/>
                    <w:right w:val="none" w:sz="0" w:space="0" w:color="auto"/>
                  </w:divBdr>
                  <w:divsChild>
                    <w:div w:id="870266956">
                      <w:marLeft w:val="0"/>
                      <w:marRight w:val="0"/>
                      <w:marTop w:val="0"/>
                      <w:marBottom w:val="0"/>
                      <w:divBdr>
                        <w:top w:val="none" w:sz="0" w:space="0" w:color="auto"/>
                        <w:left w:val="none" w:sz="0" w:space="0" w:color="auto"/>
                        <w:bottom w:val="none" w:sz="0" w:space="0" w:color="auto"/>
                        <w:right w:val="none" w:sz="0" w:space="0" w:color="auto"/>
                      </w:divBdr>
                      <w:divsChild>
                        <w:div w:id="17584786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79004804">
          <w:marLeft w:val="0"/>
          <w:marRight w:val="0"/>
          <w:marTop w:val="0"/>
          <w:marBottom w:val="0"/>
          <w:divBdr>
            <w:top w:val="none" w:sz="0" w:space="0" w:color="auto"/>
            <w:left w:val="none" w:sz="0" w:space="0" w:color="auto"/>
            <w:bottom w:val="none" w:sz="0" w:space="0" w:color="auto"/>
            <w:right w:val="none" w:sz="0" w:space="0" w:color="auto"/>
          </w:divBdr>
          <w:divsChild>
            <w:div w:id="1039091164">
              <w:marLeft w:val="0"/>
              <w:marRight w:val="0"/>
              <w:marTop w:val="0"/>
              <w:marBottom w:val="0"/>
              <w:divBdr>
                <w:top w:val="none" w:sz="0" w:space="0" w:color="auto"/>
                <w:left w:val="none" w:sz="0" w:space="0" w:color="auto"/>
                <w:bottom w:val="none" w:sz="0" w:space="0" w:color="auto"/>
                <w:right w:val="none" w:sz="0" w:space="0" w:color="auto"/>
              </w:divBdr>
              <w:divsChild>
                <w:div w:id="1295797535">
                  <w:marLeft w:val="0"/>
                  <w:marRight w:val="0"/>
                  <w:marTop w:val="0"/>
                  <w:marBottom w:val="0"/>
                  <w:divBdr>
                    <w:top w:val="none" w:sz="0" w:space="0" w:color="auto"/>
                    <w:left w:val="none" w:sz="0" w:space="0" w:color="auto"/>
                    <w:bottom w:val="none" w:sz="0" w:space="0" w:color="auto"/>
                    <w:right w:val="none" w:sz="0" w:space="0" w:color="auto"/>
                  </w:divBdr>
                  <w:divsChild>
                    <w:div w:id="1727796084">
                      <w:marLeft w:val="0"/>
                      <w:marRight w:val="0"/>
                      <w:marTop w:val="0"/>
                      <w:marBottom w:val="0"/>
                      <w:divBdr>
                        <w:top w:val="none" w:sz="0" w:space="0" w:color="auto"/>
                        <w:left w:val="none" w:sz="0" w:space="0" w:color="auto"/>
                        <w:bottom w:val="none" w:sz="0" w:space="0" w:color="auto"/>
                        <w:right w:val="none" w:sz="0" w:space="0" w:color="auto"/>
                      </w:divBdr>
                      <w:divsChild>
                        <w:div w:id="2584923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74087631">
          <w:marLeft w:val="0"/>
          <w:marRight w:val="0"/>
          <w:marTop w:val="0"/>
          <w:marBottom w:val="0"/>
          <w:divBdr>
            <w:top w:val="none" w:sz="0" w:space="0" w:color="auto"/>
            <w:left w:val="none" w:sz="0" w:space="0" w:color="auto"/>
            <w:bottom w:val="none" w:sz="0" w:space="0" w:color="auto"/>
            <w:right w:val="none" w:sz="0" w:space="0" w:color="auto"/>
          </w:divBdr>
        </w:div>
      </w:divsChild>
    </w:div>
    <w:div w:id="1296763304">
      <w:bodyDiv w:val="1"/>
      <w:marLeft w:val="0"/>
      <w:marRight w:val="0"/>
      <w:marTop w:val="0"/>
      <w:marBottom w:val="0"/>
      <w:divBdr>
        <w:top w:val="none" w:sz="0" w:space="0" w:color="auto"/>
        <w:left w:val="none" w:sz="0" w:space="0" w:color="auto"/>
        <w:bottom w:val="none" w:sz="0" w:space="0" w:color="auto"/>
        <w:right w:val="none" w:sz="0" w:space="0" w:color="auto"/>
      </w:divBdr>
      <w:divsChild>
        <w:div w:id="35356436">
          <w:marLeft w:val="0"/>
          <w:marRight w:val="0"/>
          <w:marTop w:val="0"/>
          <w:marBottom w:val="0"/>
          <w:divBdr>
            <w:top w:val="none" w:sz="0" w:space="0" w:color="auto"/>
            <w:left w:val="none" w:sz="0" w:space="0" w:color="auto"/>
            <w:bottom w:val="none" w:sz="0" w:space="0" w:color="auto"/>
            <w:right w:val="none" w:sz="0" w:space="0" w:color="auto"/>
          </w:divBdr>
          <w:divsChild>
            <w:div w:id="104352543">
              <w:marLeft w:val="0"/>
              <w:marRight w:val="0"/>
              <w:marTop w:val="0"/>
              <w:marBottom w:val="0"/>
              <w:divBdr>
                <w:top w:val="none" w:sz="0" w:space="0" w:color="auto"/>
                <w:left w:val="none" w:sz="0" w:space="0" w:color="auto"/>
                <w:bottom w:val="none" w:sz="0" w:space="0" w:color="auto"/>
                <w:right w:val="none" w:sz="0" w:space="0" w:color="auto"/>
              </w:divBdr>
              <w:divsChild>
                <w:div w:id="2242395">
                  <w:marLeft w:val="0"/>
                  <w:marRight w:val="0"/>
                  <w:marTop w:val="0"/>
                  <w:marBottom w:val="0"/>
                  <w:divBdr>
                    <w:top w:val="none" w:sz="0" w:space="0" w:color="auto"/>
                    <w:left w:val="none" w:sz="0" w:space="0" w:color="auto"/>
                    <w:bottom w:val="none" w:sz="0" w:space="0" w:color="auto"/>
                    <w:right w:val="none" w:sz="0" w:space="0" w:color="auto"/>
                  </w:divBdr>
                </w:div>
                <w:div w:id="27068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20924902">
      <w:bodyDiv w:val="1"/>
      <w:marLeft w:val="0"/>
      <w:marRight w:val="0"/>
      <w:marTop w:val="0"/>
      <w:marBottom w:val="0"/>
      <w:divBdr>
        <w:top w:val="none" w:sz="0" w:space="0" w:color="auto"/>
        <w:left w:val="none" w:sz="0" w:space="0" w:color="auto"/>
        <w:bottom w:val="none" w:sz="0" w:space="0" w:color="auto"/>
        <w:right w:val="none" w:sz="0" w:space="0" w:color="auto"/>
      </w:divBdr>
      <w:divsChild>
        <w:div w:id="1887569088">
          <w:marLeft w:val="0"/>
          <w:marRight w:val="0"/>
          <w:marTop w:val="0"/>
          <w:marBottom w:val="0"/>
          <w:divBdr>
            <w:top w:val="none" w:sz="0" w:space="0" w:color="auto"/>
            <w:left w:val="none" w:sz="0" w:space="0" w:color="auto"/>
            <w:bottom w:val="none" w:sz="0" w:space="0" w:color="auto"/>
            <w:right w:val="none" w:sz="0" w:space="0" w:color="auto"/>
          </w:divBdr>
        </w:div>
        <w:div w:id="1054043755">
          <w:marLeft w:val="0"/>
          <w:marRight w:val="0"/>
          <w:marTop w:val="0"/>
          <w:marBottom w:val="0"/>
          <w:divBdr>
            <w:top w:val="none" w:sz="0" w:space="0" w:color="auto"/>
            <w:left w:val="none" w:sz="0" w:space="0" w:color="auto"/>
            <w:bottom w:val="none" w:sz="0" w:space="0" w:color="auto"/>
            <w:right w:val="none" w:sz="0" w:space="0" w:color="auto"/>
          </w:divBdr>
          <w:divsChild>
            <w:div w:id="2041204253">
              <w:marLeft w:val="0"/>
              <w:marRight w:val="0"/>
              <w:marTop w:val="0"/>
              <w:marBottom w:val="0"/>
              <w:divBdr>
                <w:top w:val="none" w:sz="0" w:space="0" w:color="auto"/>
                <w:left w:val="none" w:sz="0" w:space="0" w:color="auto"/>
                <w:bottom w:val="none" w:sz="0" w:space="0" w:color="auto"/>
                <w:right w:val="none" w:sz="0" w:space="0" w:color="auto"/>
              </w:divBdr>
              <w:divsChild>
                <w:div w:id="770122624">
                  <w:marLeft w:val="0"/>
                  <w:marRight w:val="0"/>
                  <w:marTop w:val="0"/>
                  <w:marBottom w:val="0"/>
                  <w:divBdr>
                    <w:top w:val="none" w:sz="0" w:space="0" w:color="auto"/>
                    <w:left w:val="none" w:sz="0" w:space="0" w:color="auto"/>
                    <w:bottom w:val="none" w:sz="0" w:space="0" w:color="auto"/>
                    <w:right w:val="none" w:sz="0" w:space="0" w:color="auto"/>
                  </w:divBdr>
                  <w:divsChild>
                    <w:div w:id="1757362191">
                      <w:marLeft w:val="0"/>
                      <w:marRight w:val="0"/>
                      <w:marTop w:val="0"/>
                      <w:marBottom w:val="0"/>
                      <w:divBdr>
                        <w:top w:val="none" w:sz="0" w:space="0" w:color="auto"/>
                        <w:left w:val="none" w:sz="0" w:space="0" w:color="auto"/>
                        <w:bottom w:val="none" w:sz="0" w:space="0" w:color="auto"/>
                        <w:right w:val="none" w:sz="0" w:space="0" w:color="auto"/>
                      </w:divBdr>
                      <w:divsChild>
                        <w:div w:id="13579251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46974759">
          <w:marLeft w:val="0"/>
          <w:marRight w:val="0"/>
          <w:marTop w:val="0"/>
          <w:marBottom w:val="0"/>
          <w:divBdr>
            <w:top w:val="none" w:sz="0" w:space="0" w:color="auto"/>
            <w:left w:val="none" w:sz="0" w:space="0" w:color="auto"/>
            <w:bottom w:val="none" w:sz="0" w:space="0" w:color="auto"/>
            <w:right w:val="none" w:sz="0" w:space="0" w:color="auto"/>
          </w:divBdr>
          <w:divsChild>
            <w:div w:id="913928037">
              <w:marLeft w:val="0"/>
              <w:marRight w:val="0"/>
              <w:marTop w:val="0"/>
              <w:marBottom w:val="0"/>
              <w:divBdr>
                <w:top w:val="none" w:sz="0" w:space="0" w:color="auto"/>
                <w:left w:val="none" w:sz="0" w:space="0" w:color="auto"/>
                <w:bottom w:val="none" w:sz="0" w:space="0" w:color="auto"/>
                <w:right w:val="none" w:sz="0" w:space="0" w:color="auto"/>
              </w:divBdr>
              <w:divsChild>
                <w:div w:id="43414718">
                  <w:marLeft w:val="0"/>
                  <w:marRight w:val="0"/>
                  <w:marTop w:val="0"/>
                  <w:marBottom w:val="0"/>
                  <w:divBdr>
                    <w:top w:val="none" w:sz="0" w:space="0" w:color="auto"/>
                    <w:left w:val="none" w:sz="0" w:space="0" w:color="auto"/>
                    <w:bottom w:val="none" w:sz="0" w:space="0" w:color="auto"/>
                    <w:right w:val="none" w:sz="0" w:space="0" w:color="auto"/>
                  </w:divBdr>
                  <w:divsChild>
                    <w:div w:id="524446764">
                      <w:marLeft w:val="0"/>
                      <w:marRight w:val="0"/>
                      <w:marTop w:val="0"/>
                      <w:marBottom w:val="0"/>
                      <w:divBdr>
                        <w:top w:val="none" w:sz="0" w:space="0" w:color="auto"/>
                        <w:left w:val="none" w:sz="0" w:space="0" w:color="auto"/>
                        <w:bottom w:val="none" w:sz="0" w:space="0" w:color="auto"/>
                        <w:right w:val="none" w:sz="0" w:space="0" w:color="auto"/>
                      </w:divBdr>
                      <w:divsChild>
                        <w:div w:id="8391239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56690287">
          <w:marLeft w:val="0"/>
          <w:marRight w:val="0"/>
          <w:marTop w:val="0"/>
          <w:marBottom w:val="0"/>
          <w:divBdr>
            <w:top w:val="none" w:sz="0" w:space="0" w:color="auto"/>
            <w:left w:val="none" w:sz="0" w:space="0" w:color="auto"/>
            <w:bottom w:val="none" w:sz="0" w:space="0" w:color="auto"/>
            <w:right w:val="none" w:sz="0" w:space="0" w:color="auto"/>
          </w:divBdr>
        </w:div>
      </w:divsChild>
    </w:div>
    <w:div w:id="1742678663">
      <w:bodyDiv w:val="1"/>
      <w:marLeft w:val="0"/>
      <w:marRight w:val="0"/>
      <w:marTop w:val="0"/>
      <w:marBottom w:val="0"/>
      <w:divBdr>
        <w:top w:val="none" w:sz="0" w:space="0" w:color="auto"/>
        <w:left w:val="none" w:sz="0" w:space="0" w:color="auto"/>
        <w:bottom w:val="none" w:sz="0" w:space="0" w:color="auto"/>
        <w:right w:val="none" w:sz="0" w:space="0" w:color="auto"/>
      </w:divBdr>
      <w:divsChild>
        <w:div w:id="1501003652">
          <w:marLeft w:val="0"/>
          <w:marRight w:val="0"/>
          <w:marTop w:val="0"/>
          <w:marBottom w:val="0"/>
          <w:divBdr>
            <w:top w:val="none" w:sz="0" w:space="0" w:color="auto"/>
            <w:left w:val="none" w:sz="0" w:space="0" w:color="auto"/>
            <w:bottom w:val="none" w:sz="0" w:space="0" w:color="auto"/>
            <w:right w:val="none" w:sz="0" w:space="0" w:color="auto"/>
          </w:divBdr>
        </w:div>
        <w:div w:id="566914979">
          <w:marLeft w:val="0"/>
          <w:marRight w:val="0"/>
          <w:marTop w:val="0"/>
          <w:marBottom w:val="0"/>
          <w:divBdr>
            <w:top w:val="none" w:sz="0" w:space="0" w:color="auto"/>
            <w:left w:val="none" w:sz="0" w:space="0" w:color="auto"/>
            <w:bottom w:val="none" w:sz="0" w:space="0" w:color="auto"/>
            <w:right w:val="none" w:sz="0" w:space="0" w:color="auto"/>
          </w:divBdr>
        </w:div>
        <w:div w:id="1958560941">
          <w:marLeft w:val="0"/>
          <w:marRight w:val="0"/>
          <w:marTop w:val="0"/>
          <w:marBottom w:val="0"/>
          <w:divBdr>
            <w:top w:val="none" w:sz="0" w:space="0" w:color="auto"/>
            <w:left w:val="none" w:sz="0" w:space="0" w:color="auto"/>
            <w:bottom w:val="none" w:sz="0" w:space="0" w:color="auto"/>
            <w:right w:val="none" w:sz="0" w:space="0" w:color="auto"/>
          </w:divBdr>
        </w:div>
        <w:div w:id="1125075455">
          <w:marLeft w:val="0"/>
          <w:marRight w:val="0"/>
          <w:marTop w:val="0"/>
          <w:marBottom w:val="0"/>
          <w:divBdr>
            <w:top w:val="none" w:sz="0" w:space="0" w:color="auto"/>
            <w:left w:val="none" w:sz="0" w:space="0" w:color="auto"/>
            <w:bottom w:val="none" w:sz="0" w:space="0" w:color="auto"/>
            <w:right w:val="none" w:sz="0" w:space="0" w:color="auto"/>
          </w:divBdr>
          <w:divsChild>
            <w:div w:id="831213676">
              <w:marLeft w:val="0"/>
              <w:marRight w:val="0"/>
              <w:marTop w:val="0"/>
              <w:marBottom w:val="0"/>
              <w:divBdr>
                <w:top w:val="none" w:sz="0" w:space="0" w:color="auto"/>
                <w:left w:val="none" w:sz="0" w:space="0" w:color="auto"/>
                <w:bottom w:val="none" w:sz="0" w:space="0" w:color="auto"/>
                <w:right w:val="none" w:sz="0" w:space="0" w:color="auto"/>
              </w:divBdr>
            </w:div>
            <w:div w:id="1548293050">
              <w:marLeft w:val="0"/>
              <w:marRight w:val="0"/>
              <w:marTop w:val="0"/>
              <w:marBottom w:val="0"/>
              <w:divBdr>
                <w:top w:val="none" w:sz="0" w:space="0" w:color="auto"/>
                <w:left w:val="none" w:sz="0" w:space="0" w:color="auto"/>
                <w:bottom w:val="none" w:sz="0" w:space="0" w:color="auto"/>
                <w:right w:val="none" w:sz="0" w:space="0" w:color="auto"/>
              </w:divBdr>
              <w:divsChild>
                <w:div w:id="1728459084">
                  <w:marLeft w:val="0"/>
                  <w:marRight w:val="0"/>
                  <w:marTop w:val="0"/>
                  <w:marBottom w:val="0"/>
                  <w:divBdr>
                    <w:top w:val="none" w:sz="0" w:space="0" w:color="auto"/>
                    <w:left w:val="none" w:sz="0" w:space="0" w:color="auto"/>
                    <w:bottom w:val="none" w:sz="0" w:space="0" w:color="auto"/>
                    <w:right w:val="none" w:sz="0" w:space="0" w:color="auto"/>
                  </w:divBdr>
                </w:div>
                <w:div w:id="554508743">
                  <w:marLeft w:val="0"/>
                  <w:marRight w:val="0"/>
                  <w:marTop w:val="0"/>
                  <w:marBottom w:val="0"/>
                  <w:divBdr>
                    <w:top w:val="none" w:sz="0" w:space="0" w:color="auto"/>
                    <w:left w:val="none" w:sz="0" w:space="0" w:color="auto"/>
                    <w:bottom w:val="none" w:sz="0" w:space="0" w:color="auto"/>
                    <w:right w:val="none" w:sz="0" w:space="0" w:color="auto"/>
                  </w:divBdr>
                  <w:divsChild>
                    <w:div w:id="11308260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37209029">
      <w:bodyDiv w:val="1"/>
      <w:marLeft w:val="0"/>
      <w:marRight w:val="0"/>
      <w:marTop w:val="0"/>
      <w:marBottom w:val="0"/>
      <w:divBdr>
        <w:top w:val="none" w:sz="0" w:space="0" w:color="auto"/>
        <w:left w:val="none" w:sz="0" w:space="0" w:color="auto"/>
        <w:bottom w:val="none" w:sz="0" w:space="0" w:color="auto"/>
        <w:right w:val="none" w:sz="0" w:space="0" w:color="auto"/>
      </w:divBdr>
      <w:divsChild>
        <w:div w:id="412552487">
          <w:marLeft w:val="0"/>
          <w:marRight w:val="0"/>
          <w:marTop w:val="0"/>
          <w:marBottom w:val="0"/>
          <w:divBdr>
            <w:top w:val="none" w:sz="0" w:space="0" w:color="auto"/>
            <w:left w:val="none" w:sz="0" w:space="0" w:color="auto"/>
            <w:bottom w:val="none" w:sz="0" w:space="0" w:color="auto"/>
            <w:right w:val="none" w:sz="0" w:space="0" w:color="auto"/>
          </w:divBdr>
          <w:divsChild>
            <w:div w:id="2072776696">
              <w:marLeft w:val="0"/>
              <w:marRight w:val="0"/>
              <w:marTop w:val="0"/>
              <w:marBottom w:val="0"/>
              <w:divBdr>
                <w:top w:val="none" w:sz="0" w:space="0" w:color="auto"/>
                <w:left w:val="none" w:sz="0" w:space="0" w:color="auto"/>
                <w:bottom w:val="none" w:sz="0" w:space="0" w:color="auto"/>
                <w:right w:val="none" w:sz="0" w:space="0" w:color="auto"/>
              </w:divBdr>
              <w:divsChild>
                <w:div w:id="483931865">
                  <w:marLeft w:val="0"/>
                  <w:marRight w:val="0"/>
                  <w:marTop w:val="0"/>
                  <w:marBottom w:val="0"/>
                  <w:divBdr>
                    <w:top w:val="none" w:sz="0" w:space="0" w:color="auto"/>
                    <w:left w:val="none" w:sz="0" w:space="0" w:color="auto"/>
                    <w:bottom w:val="none" w:sz="0" w:space="0" w:color="auto"/>
                    <w:right w:val="none" w:sz="0" w:space="0" w:color="auto"/>
                  </w:divBdr>
                  <w:divsChild>
                    <w:div w:id="78724032">
                      <w:marLeft w:val="0"/>
                      <w:marRight w:val="0"/>
                      <w:marTop w:val="0"/>
                      <w:marBottom w:val="0"/>
                      <w:divBdr>
                        <w:top w:val="none" w:sz="0" w:space="0" w:color="auto"/>
                        <w:left w:val="none" w:sz="0" w:space="0" w:color="auto"/>
                        <w:bottom w:val="none" w:sz="0" w:space="0" w:color="auto"/>
                        <w:right w:val="none" w:sz="0" w:space="0" w:color="auto"/>
                      </w:divBdr>
                    </w:div>
                    <w:div w:id="1008599388">
                      <w:marLeft w:val="0"/>
                      <w:marRight w:val="0"/>
                      <w:marTop w:val="0"/>
                      <w:marBottom w:val="0"/>
                      <w:divBdr>
                        <w:top w:val="none" w:sz="0" w:space="0" w:color="auto"/>
                        <w:left w:val="none" w:sz="0" w:space="0" w:color="auto"/>
                        <w:bottom w:val="none" w:sz="0" w:space="0" w:color="auto"/>
                        <w:right w:val="none" w:sz="0" w:space="0" w:color="auto"/>
                      </w:divBdr>
                    </w:div>
                  </w:divsChild>
                </w:div>
                <w:div w:id="152574474">
                  <w:marLeft w:val="0"/>
                  <w:marRight w:val="0"/>
                  <w:marTop w:val="0"/>
                  <w:marBottom w:val="0"/>
                  <w:divBdr>
                    <w:top w:val="none" w:sz="0" w:space="0" w:color="auto"/>
                    <w:left w:val="none" w:sz="0" w:space="0" w:color="auto"/>
                    <w:bottom w:val="none" w:sz="0" w:space="0" w:color="auto"/>
                    <w:right w:val="none" w:sz="0" w:space="0" w:color="auto"/>
                  </w:divBdr>
                  <w:divsChild>
                    <w:div w:id="9318579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02117901">
          <w:marLeft w:val="0"/>
          <w:marRight w:val="0"/>
          <w:marTop w:val="0"/>
          <w:marBottom w:val="0"/>
          <w:divBdr>
            <w:top w:val="none" w:sz="0" w:space="0" w:color="auto"/>
            <w:left w:val="none" w:sz="0" w:space="0" w:color="auto"/>
            <w:bottom w:val="none" w:sz="0" w:space="0" w:color="auto"/>
            <w:right w:val="none" w:sz="0" w:space="0" w:color="auto"/>
          </w:divBdr>
          <w:divsChild>
            <w:div w:id="1744253339">
              <w:marLeft w:val="0"/>
              <w:marRight w:val="0"/>
              <w:marTop w:val="0"/>
              <w:marBottom w:val="0"/>
              <w:divBdr>
                <w:top w:val="none" w:sz="0" w:space="0" w:color="auto"/>
                <w:left w:val="none" w:sz="0" w:space="0" w:color="auto"/>
                <w:bottom w:val="none" w:sz="0" w:space="0" w:color="auto"/>
                <w:right w:val="none" w:sz="0" w:space="0" w:color="auto"/>
              </w:divBdr>
              <w:divsChild>
                <w:div w:id="656806341">
                  <w:marLeft w:val="0"/>
                  <w:marRight w:val="0"/>
                  <w:marTop w:val="0"/>
                  <w:marBottom w:val="0"/>
                  <w:divBdr>
                    <w:top w:val="none" w:sz="0" w:space="0" w:color="auto"/>
                    <w:left w:val="none" w:sz="0" w:space="0" w:color="auto"/>
                    <w:bottom w:val="none" w:sz="0" w:space="0" w:color="auto"/>
                    <w:right w:val="none" w:sz="0" w:space="0" w:color="auto"/>
                  </w:divBdr>
                  <w:divsChild>
                    <w:div w:id="289437839">
                      <w:marLeft w:val="0"/>
                      <w:marRight w:val="0"/>
                      <w:marTop w:val="0"/>
                      <w:marBottom w:val="0"/>
                      <w:divBdr>
                        <w:top w:val="none" w:sz="0" w:space="0" w:color="auto"/>
                        <w:left w:val="none" w:sz="0" w:space="0" w:color="auto"/>
                        <w:bottom w:val="none" w:sz="0" w:space="0" w:color="auto"/>
                        <w:right w:val="none" w:sz="0" w:space="0" w:color="auto"/>
                      </w:divBdr>
                      <w:divsChild>
                        <w:div w:id="463349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3593126">
                  <w:marLeft w:val="0"/>
                  <w:marRight w:val="0"/>
                  <w:marTop w:val="0"/>
                  <w:marBottom w:val="0"/>
                  <w:divBdr>
                    <w:top w:val="none" w:sz="0" w:space="0" w:color="auto"/>
                    <w:left w:val="none" w:sz="0" w:space="0" w:color="auto"/>
                    <w:bottom w:val="none" w:sz="0" w:space="0" w:color="auto"/>
                    <w:right w:val="none" w:sz="0" w:space="0" w:color="auto"/>
                  </w:divBdr>
                  <w:divsChild>
                    <w:div w:id="1745757745">
                      <w:marLeft w:val="0"/>
                      <w:marRight w:val="0"/>
                      <w:marTop w:val="0"/>
                      <w:marBottom w:val="0"/>
                      <w:divBdr>
                        <w:top w:val="none" w:sz="0" w:space="0" w:color="auto"/>
                        <w:left w:val="none" w:sz="0" w:space="0" w:color="auto"/>
                        <w:bottom w:val="none" w:sz="0" w:space="0" w:color="auto"/>
                        <w:right w:val="none" w:sz="0" w:space="0" w:color="auto"/>
                      </w:divBdr>
                    </w:div>
                    <w:div w:id="1120996290">
                      <w:marLeft w:val="0"/>
                      <w:marRight w:val="0"/>
                      <w:marTop w:val="0"/>
                      <w:marBottom w:val="0"/>
                      <w:divBdr>
                        <w:top w:val="none" w:sz="0" w:space="0" w:color="auto"/>
                        <w:left w:val="none" w:sz="0" w:space="0" w:color="auto"/>
                        <w:bottom w:val="none" w:sz="0" w:space="0" w:color="auto"/>
                        <w:right w:val="none" w:sz="0" w:space="0" w:color="auto"/>
                      </w:divBdr>
                    </w:div>
                    <w:div w:id="687414226">
                      <w:marLeft w:val="0"/>
                      <w:marRight w:val="0"/>
                      <w:marTop w:val="0"/>
                      <w:marBottom w:val="0"/>
                      <w:divBdr>
                        <w:top w:val="none" w:sz="0" w:space="0" w:color="auto"/>
                        <w:left w:val="none" w:sz="0" w:space="0" w:color="auto"/>
                        <w:bottom w:val="none" w:sz="0" w:space="0" w:color="auto"/>
                        <w:right w:val="none" w:sz="0" w:space="0" w:color="auto"/>
                      </w:divBdr>
                    </w:div>
                    <w:div w:id="1218593626">
                      <w:marLeft w:val="0"/>
                      <w:marRight w:val="0"/>
                      <w:marTop w:val="0"/>
                      <w:marBottom w:val="0"/>
                      <w:divBdr>
                        <w:top w:val="none" w:sz="0" w:space="0" w:color="auto"/>
                        <w:left w:val="none" w:sz="0" w:space="0" w:color="auto"/>
                        <w:bottom w:val="none" w:sz="0" w:space="0" w:color="auto"/>
                        <w:right w:val="none" w:sz="0" w:space="0" w:color="auto"/>
                      </w:divBdr>
                    </w:div>
                  </w:divsChild>
                </w:div>
                <w:div w:id="2120644135">
                  <w:marLeft w:val="0"/>
                  <w:marRight w:val="0"/>
                  <w:marTop w:val="0"/>
                  <w:marBottom w:val="0"/>
                  <w:divBdr>
                    <w:top w:val="none" w:sz="0" w:space="0" w:color="auto"/>
                    <w:left w:val="none" w:sz="0" w:space="0" w:color="auto"/>
                    <w:bottom w:val="none" w:sz="0" w:space="0" w:color="auto"/>
                    <w:right w:val="none" w:sz="0" w:space="0" w:color="auto"/>
                  </w:divBdr>
                  <w:divsChild>
                    <w:div w:id="608512990">
                      <w:marLeft w:val="0"/>
                      <w:marRight w:val="0"/>
                      <w:marTop w:val="0"/>
                      <w:marBottom w:val="0"/>
                      <w:divBdr>
                        <w:top w:val="none" w:sz="0" w:space="0" w:color="auto"/>
                        <w:left w:val="none" w:sz="0" w:space="0" w:color="auto"/>
                        <w:bottom w:val="none" w:sz="0" w:space="0" w:color="auto"/>
                        <w:right w:val="none" w:sz="0" w:space="0" w:color="auto"/>
                      </w:divBdr>
                      <w:divsChild>
                        <w:div w:id="5200457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27057611">
      <w:bodyDiv w:val="1"/>
      <w:marLeft w:val="0"/>
      <w:marRight w:val="0"/>
      <w:marTop w:val="0"/>
      <w:marBottom w:val="0"/>
      <w:divBdr>
        <w:top w:val="none" w:sz="0" w:space="0" w:color="auto"/>
        <w:left w:val="none" w:sz="0" w:space="0" w:color="auto"/>
        <w:bottom w:val="none" w:sz="0" w:space="0" w:color="auto"/>
        <w:right w:val="none" w:sz="0" w:space="0" w:color="auto"/>
      </w:divBdr>
      <w:divsChild>
        <w:div w:id="555169922">
          <w:marLeft w:val="0"/>
          <w:marRight w:val="0"/>
          <w:marTop w:val="0"/>
          <w:marBottom w:val="0"/>
          <w:divBdr>
            <w:top w:val="none" w:sz="0" w:space="0" w:color="auto"/>
            <w:left w:val="none" w:sz="0" w:space="0" w:color="auto"/>
            <w:bottom w:val="none" w:sz="0" w:space="0" w:color="auto"/>
            <w:right w:val="none" w:sz="0" w:space="0" w:color="auto"/>
          </w:divBdr>
          <w:divsChild>
            <w:div w:id="1221554391">
              <w:marLeft w:val="0"/>
              <w:marRight w:val="0"/>
              <w:marTop w:val="0"/>
              <w:marBottom w:val="0"/>
              <w:divBdr>
                <w:top w:val="none" w:sz="0" w:space="0" w:color="auto"/>
                <w:left w:val="none" w:sz="0" w:space="0" w:color="auto"/>
                <w:bottom w:val="none" w:sz="0" w:space="0" w:color="auto"/>
                <w:right w:val="none" w:sz="0" w:space="0" w:color="auto"/>
              </w:divBdr>
              <w:divsChild>
                <w:div w:id="1659533059">
                  <w:marLeft w:val="0"/>
                  <w:marRight w:val="0"/>
                  <w:marTop w:val="0"/>
                  <w:marBottom w:val="0"/>
                  <w:divBdr>
                    <w:top w:val="none" w:sz="0" w:space="0" w:color="auto"/>
                    <w:left w:val="none" w:sz="0" w:space="0" w:color="auto"/>
                    <w:bottom w:val="none" w:sz="0" w:space="0" w:color="auto"/>
                    <w:right w:val="none" w:sz="0" w:space="0" w:color="auto"/>
                  </w:divBdr>
                </w:div>
                <w:div w:id="1534145928">
                  <w:marLeft w:val="0"/>
                  <w:marRight w:val="0"/>
                  <w:marTop w:val="0"/>
                  <w:marBottom w:val="0"/>
                  <w:divBdr>
                    <w:top w:val="none" w:sz="0" w:space="0" w:color="auto"/>
                    <w:left w:val="none" w:sz="0" w:space="0" w:color="auto"/>
                    <w:bottom w:val="none" w:sz="0" w:space="0" w:color="auto"/>
                    <w:right w:val="none" w:sz="0" w:space="0" w:color="auto"/>
                  </w:divBdr>
                </w:div>
              </w:divsChild>
            </w:div>
            <w:div w:id="2045279211">
              <w:marLeft w:val="0"/>
              <w:marRight w:val="0"/>
              <w:marTop w:val="0"/>
              <w:marBottom w:val="0"/>
              <w:divBdr>
                <w:top w:val="none" w:sz="0" w:space="0" w:color="auto"/>
                <w:left w:val="none" w:sz="0" w:space="0" w:color="auto"/>
                <w:bottom w:val="none" w:sz="0" w:space="0" w:color="auto"/>
                <w:right w:val="none" w:sz="0" w:space="0" w:color="auto"/>
              </w:divBdr>
              <w:divsChild>
                <w:div w:id="14108858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3201220">
          <w:marLeft w:val="0"/>
          <w:marRight w:val="0"/>
          <w:marTop w:val="0"/>
          <w:marBottom w:val="0"/>
          <w:divBdr>
            <w:top w:val="none" w:sz="0" w:space="0" w:color="auto"/>
            <w:left w:val="none" w:sz="0" w:space="0" w:color="auto"/>
            <w:bottom w:val="none" w:sz="0" w:space="0" w:color="auto"/>
            <w:right w:val="none" w:sz="0" w:space="0" w:color="auto"/>
          </w:divBdr>
          <w:divsChild>
            <w:div w:id="951934021">
              <w:marLeft w:val="0"/>
              <w:marRight w:val="0"/>
              <w:marTop w:val="0"/>
              <w:marBottom w:val="0"/>
              <w:divBdr>
                <w:top w:val="none" w:sz="0" w:space="0" w:color="auto"/>
                <w:left w:val="none" w:sz="0" w:space="0" w:color="auto"/>
                <w:bottom w:val="none" w:sz="0" w:space="0" w:color="auto"/>
                <w:right w:val="none" w:sz="0" w:space="0" w:color="auto"/>
              </w:divBdr>
              <w:divsChild>
                <w:div w:id="8432094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26997450">
      <w:bodyDiv w:val="1"/>
      <w:marLeft w:val="0"/>
      <w:marRight w:val="0"/>
      <w:marTop w:val="0"/>
      <w:marBottom w:val="0"/>
      <w:divBdr>
        <w:top w:val="none" w:sz="0" w:space="0" w:color="auto"/>
        <w:left w:val="none" w:sz="0" w:space="0" w:color="auto"/>
        <w:bottom w:val="none" w:sz="0" w:space="0" w:color="auto"/>
        <w:right w:val="none" w:sz="0" w:space="0" w:color="auto"/>
      </w:divBdr>
      <w:divsChild>
        <w:div w:id="2076930650">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www.statisticstimes.com/economy/country/chile-gdp.php" TargetMode="External"/><Relationship Id="rId21" Type="http://schemas.openxmlformats.org/officeDocument/2006/relationships/hyperlink" Target="https://www.statisticstimes.com/economy/gdp-indicators-2021.php" TargetMode="External"/><Relationship Id="rId63" Type="http://schemas.openxmlformats.org/officeDocument/2006/relationships/hyperlink" Target="https://www.statisticstimes.com/economy/country/vietnam-gdp.php" TargetMode="External"/><Relationship Id="rId159" Type="http://schemas.openxmlformats.org/officeDocument/2006/relationships/hyperlink" Target="https://www.fanews.co.za/article/magazine-archives-fanews-fanuus/60/features-profiles/1320/the-impact-of-avocations-on-underwriting/10132" TargetMode="External"/><Relationship Id="rId170" Type="http://schemas.openxmlformats.org/officeDocument/2006/relationships/hyperlink" Target="https://www.prudential.co.za/personal-investor/our-funds/tools/goal-calculator/" TargetMode="External"/><Relationship Id="rId226" Type="http://schemas.openxmlformats.org/officeDocument/2006/relationships/hyperlink" Target="https://www.reuters.com/article/us-china-swinefever-idUSKCN1P90I1?utm_campaign=trueAnthem:%20Trending%20Content&amp;utm_content=5c3dcb7004d301510582ad1a&amp;utm_medium=trueAnthem&amp;utm_source=twitter" TargetMode="External"/><Relationship Id="rId268" Type="http://schemas.openxmlformats.org/officeDocument/2006/relationships/hyperlink" Target="http://www.linkedin.com/shareArticle?mini=true&amp;source=The+Conversation&amp;summary=Droughts+have+become+more+commonplace+in+South+Africa+in+recent+years.+%5BIn+the+past+two+decades+since+1990%2C%5D%28https%3A%2F%2Fwww.news24.com%2FSouthAfrica%2FNews%2Fhow-severe-is-cape-towns-drought-a-detailed-look...&amp;title=How+droughts+will+affect+South+Africa%27s+broader+economy&amp;url=https%3A%2F%2Ftheconversation.com%2Fhow-droughts-will-affect-south-africas-broader-economy-111378%3Futm_source%3Dlinkedin%26utm_medium%3Dbylinelinkedinbutton" TargetMode="External"/><Relationship Id="rId32" Type="http://schemas.openxmlformats.org/officeDocument/2006/relationships/hyperlink" Target="https://www.statisticstimes.com/economy/country/south-korea-gdp.php" TargetMode="External"/><Relationship Id="rId74" Type="http://schemas.openxmlformats.org/officeDocument/2006/relationships/hyperlink" Target="https://www.statisticstimes.com/economy/country/us-gdp.php" TargetMode="External"/><Relationship Id="rId128" Type="http://schemas.openxmlformats.org/officeDocument/2006/relationships/image" Target="media/image8.jpeg"/><Relationship Id="rId5" Type="http://schemas.openxmlformats.org/officeDocument/2006/relationships/hyperlink" Target="https://s3-us-west-2.amazonaws.com/courses-images-archive-read-only/wp-content/uploads/sites/1120/2015/06/02032106/Business_Cycle_Diagram.png" TargetMode="External"/><Relationship Id="rId181" Type="http://schemas.openxmlformats.org/officeDocument/2006/relationships/image" Target="media/image29.png"/><Relationship Id="rId237" Type="http://schemas.openxmlformats.org/officeDocument/2006/relationships/hyperlink" Target="https://www.bloomberg.com/news/articles/2019-05-02/pig-ebola-virus-sends-shock-waves-through-global-food-chain" TargetMode="External"/><Relationship Id="rId279" Type="http://schemas.openxmlformats.org/officeDocument/2006/relationships/hyperlink" Target="https://www.countrylife.co.za/news/38380" TargetMode="External"/><Relationship Id="rId43" Type="http://schemas.openxmlformats.org/officeDocument/2006/relationships/hyperlink" Target="https://www.statisticstimes.com/economy/country/turkey-gdp.php" TargetMode="External"/><Relationship Id="rId139" Type="http://schemas.openxmlformats.org/officeDocument/2006/relationships/image" Target="media/image17.png"/><Relationship Id="rId85" Type="http://schemas.openxmlformats.org/officeDocument/2006/relationships/hyperlink" Target="https://www.statisticstimes.com/economy/country/mexico-gdp.php" TargetMode="External"/><Relationship Id="rId150" Type="http://schemas.openxmlformats.org/officeDocument/2006/relationships/image" Target="media/image23.png"/><Relationship Id="rId192" Type="http://schemas.openxmlformats.org/officeDocument/2006/relationships/image" Target="media/image39.png"/><Relationship Id="rId206" Type="http://schemas.openxmlformats.org/officeDocument/2006/relationships/image" Target="media/image51.jpeg"/><Relationship Id="rId248" Type="http://schemas.openxmlformats.org/officeDocument/2006/relationships/hyperlink" Target="https://www.profarmer.com/markets/policy/asf-now-found-all-parts-china-pork-prices-imports-expected-surge" TargetMode="External"/><Relationship Id="rId269" Type="http://schemas.openxmlformats.org/officeDocument/2006/relationships/hyperlink" Target="https://theconversation.com/how-droughts-will-affect-south-africas-broader-economy-111378" TargetMode="External"/><Relationship Id="rId12" Type="http://schemas.openxmlformats.org/officeDocument/2006/relationships/hyperlink" Target="https://businesstech.co.za/news/author/staff-writer/" TargetMode="External"/><Relationship Id="rId33" Type="http://schemas.openxmlformats.org/officeDocument/2006/relationships/hyperlink" Target="https://www.statisticstimes.com/economy/country/russia-gdp.php" TargetMode="External"/><Relationship Id="rId108" Type="http://schemas.openxmlformats.org/officeDocument/2006/relationships/hyperlink" Target="https://www.statisticstimes.com/economy/country/romania-gdp.php" TargetMode="External"/><Relationship Id="rId129" Type="http://schemas.openxmlformats.org/officeDocument/2006/relationships/image" Target="media/image9.jpeg"/><Relationship Id="rId280" Type="http://schemas.openxmlformats.org/officeDocument/2006/relationships/hyperlink" Target="http://www.statssa.gov.za/?p=2564" TargetMode="External"/><Relationship Id="rId54" Type="http://schemas.openxmlformats.org/officeDocument/2006/relationships/hyperlink" Target="https://www.statisticstimes.com/economy/country/norway-gdp.php" TargetMode="External"/><Relationship Id="rId75" Type="http://schemas.openxmlformats.org/officeDocument/2006/relationships/hyperlink" Target="https://www.statisticstimes.com/economy/country/india-gdp.php" TargetMode="External"/><Relationship Id="rId96" Type="http://schemas.openxmlformats.org/officeDocument/2006/relationships/hyperlink" Target="https://www.statisticstimes.com/economy/country/pakistan-gdp.php" TargetMode="External"/><Relationship Id="rId140" Type="http://schemas.openxmlformats.org/officeDocument/2006/relationships/image" Target="media/image18.jpeg"/><Relationship Id="rId161" Type="http://schemas.openxmlformats.org/officeDocument/2006/relationships/hyperlink" Target="https://www" TargetMode="External"/><Relationship Id="rId182" Type="http://schemas.openxmlformats.org/officeDocument/2006/relationships/hyperlink" Target="http://www.allangray.co.za/" TargetMode="External"/><Relationship Id="rId217" Type="http://schemas.openxmlformats.org/officeDocument/2006/relationships/hyperlink" Target="https://veterinaryrecord.bmj.com/content/181/5/115" TargetMode="External"/><Relationship Id="rId6" Type="http://schemas.openxmlformats.org/officeDocument/2006/relationships/image" Target="media/image1.png"/><Relationship Id="rId238" Type="http://schemas.openxmlformats.org/officeDocument/2006/relationships/hyperlink" Target="https://www.reuters.com/article/us-china-economy-output-pork/china-warns-of-soaring-pork-prices-as-virus-curbs-output-idUSKCN1RT0A5" TargetMode="External"/><Relationship Id="rId259" Type="http://schemas.openxmlformats.org/officeDocument/2006/relationships/hyperlink" Target="http://www.enviropaedia.com/topic/default.php?topic_id=123" TargetMode="External"/><Relationship Id="rId23" Type="http://schemas.openxmlformats.org/officeDocument/2006/relationships/hyperlink" Target="https://www.statisticstimes.com/economy/country/us-gdp.php" TargetMode="External"/><Relationship Id="rId119" Type="http://schemas.openxmlformats.org/officeDocument/2006/relationships/hyperlink" Target="https://www.statisticstimes.com/economy/country/czechia-gdp.php" TargetMode="External"/><Relationship Id="rId270" Type="http://schemas.openxmlformats.org/officeDocument/2006/relationships/hyperlink" Target="https://www.news24.com/SouthAfrica/News/how-severe-is-cape-towns-drought-a-detailed-look-at-the-data-20180123" TargetMode="External"/><Relationship Id="rId44" Type="http://schemas.openxmlformats.org/officeDocument/2006/relationships/hyperlink" Target="https://www.statisticstimes.com/economy/country/taiwan-gdp.php" TargetMode="External"/><Relationship Id="rId65" Type="http://schemas.openxmlformats.org/officeDocument/2006/relationships/hyperlink" Target="https://www.statisticstimes.com/economy/country/chile-gdp.php" TargetMode="External"/><Relationship Id="rId86" Type="http://schemas.openxmlformats.org/officeDocument/2006/relationships/hyperlink" Target="https://www.statisticstimes.com/economy/country/south-korea-gdp.php" TargetMode="External"/><Relationship Id="rId130" Type="http://schemas.openxmlformats.org/officeDocument/2006/relationships/image" Target="media/image10.jpeg"/><Relationship Id="rId151" Type="http://schemas.openxmlformats.org/officeDocument/2006/relationships/image" Target="media/image24.png"/><Relationship Id="rId172" Type="http://schemas.openxmlformats.org/officeDocument/2006/relationships/hyperlink" Target="https://www.mandg.co.za/insights/articlesreleases/how-much-investment-risk-can-you-handle/" TargetMode="External"/><Relationship Id="rId193" Type="http://schemas.openxmlformats.org/officeDocument/2006/relationships/image" Target="media/image40.png"/><Relationship Id="rId207" Type="http://schemas.openxmlformats.org/officeDocument/2006/relationships/hyperlink" Target="https://www.businesslive.co.za/bd/markets/2019-09-16-rand-weaker-as-saudi-oil-attacks-spur-global-risk-off-trade/" TargetMode="External"/><Relationship Id="rId228" Type="http://schemas.openxmlformats.org/officeDocument/2006/relationships/hyperlink" Target="http://focustaiwan.tw/news/afav/201901030013.aspx" TargetMode="External"/><Relationship Id="rId249" Type="http://schemas.openxmlformats.org/officeDocument/2006/relationships/hyperlink" Target="https://www.nature.com/articles/d41586-019-01269-5" TargetMode="External"/><Relationship Id="rId13" Type="http://schemas.openxmlformats.org/officeDocument/2006/relationships/hyperlink" Target="https://businesstech.co.za/news/finance/289132/south-africa-moves-out-of-recession/" TargetMode="External"/><Relationship Id="rId109" Type="http://schemas.openxmlformats.org/officeDocument/2006/relationships/hyperlink" Target="https://www.statisticstimes.com/economy/country/belgium-gdp.php" TargetMode="External"/><Relationship Id="rId260" Type="http://schemas.openxmlformats.org/officeDocument/2006/relationships/hyperlink" Target="https://theconversation.com/profiles/mmatlou-kalaba-180824" TargetMode="External"/><Relationship Id="rId281" Type="http://schemas.openxmlformats.org/officeDocument/2006/relationships/hyperlink" Target="https://www.iol.co.za/business-report/why-western-cape-agriculture-matters-to-sa-economy-10007415" TargetMode="External"/><Relationship Id="rId34" Type="http://schemas.openxmlformats.org/officeDocument/2006/relationships/hyperlink" Target="https://www.statisticstimes.com/economy/country/brazil-gdp.php" TargetMode="External"/><Relationship Id="rId55" Type="http://schemas.openxmlformats.org/officeDocument/2006/relationships/hyperlink" Target="https://www.statisticstimes.com/economy/country/south-africa-gdp.php" TargetMode="External"/><Relationship Id="rId76" Type="http://schemas.openxmlformats.org/officeDocument/2006/relationships/hyperlink" Target="https://www.statisticstimes.com/economy/country/japan-gdp.php" TargetMode="External"/><Relationship Id="rId97" Type="http://schemas.openxmlformats.org/officeDocument/2006/relationships/hyperlink" Target="https://www.statisticstimes.com/economy/country/vietnam-gdp.php" TargetMode="External"/><Relationship Id="rId120" Type="http://schemas.openxmlformats.org/officeDocument/2006/relationships/hyperlink" Target="https://www.statisticstimes.com/economy/country/peru-gdp.php" TargetMode="External"/><Relationship Id="rId141" Type="http://schemas.openxmlformats.org/officeDocument/2006/relationships/hyperlink" Target="http://www.statssa.gov.za/?page_id=1854&amp;PPN=P9119.4" TargetMode="External"/><Relationship Id="rId7" Type="http://schemas.openxmlformats.org/officeDocument/2006/relationships/hyperlink" Target="https://courses.lumenlearning.com/baycollege-introbusiness/chapter/reading-the-business-cycle-definition-and-phases/" TargetMode="External"/><Relationship Id="rId162" Type="http://schemas.openxmlformats.org/officeDocument/2006/relationships/hyperlink" Target="https://www.moonstone.co.za/author/janine-geldenhuys/" TargetMode="External"/><Relationship Id="rId183" Type="http://schemas.openxmlformats.org/officeDocument/2006/relationships/image" Target="media/image30.jpeg"/><Relationship Id="rId218" Type="http://schemas.openxmlformats.org/officeDocument/2006/relationships/hyperlink" Target="https://veterinaryrecord.bmj.com/content/181/5/117?int_source=trendmd&amp;int_medium=trendmd&amp;int_campaign=trendmd" TargetMode="External"/><Relationship Id="rId239" Type="http://schemas.openxmlformats.org/officeDocument/2006/relationships/hyperlink" Target="https://www.bloomberg.com/news/articles/2019-05-02/pig-ebola-virus-sends-shock-waves-through-global-food-chain" TargetMode="External"/><Relationship Id="rId250" Type="http://schemas.openxmlformats.org/officeDocument/2006/relationships/hyperlink" Target="https://www.pewtrusts.org/en/research-and-analysis/issue-briefs/2012/05/16/heparin-a-wakeup-call-on-risks-to-the-us-drug-supply" TargetMode="External"/><Relationship Id="rId271" Type="http://schemas.openxmlformats.org/officeDocument/2006/relationships/hyperlink" Target="https://www.climaterealityproject.org/blog/facts-about-climate-change-and-drought" TargetMode="External"/><Relationship Id="rId24" Type="http://schemas.openxmlformats.org/officeDocument/2006/relationships/hyperlink" Target="https://www.statisticstimes.com/economy/country/china-gdp.php" TargetMode="External"/><Relationship Id="rId45" Type="http://schemas.openxmlformats.org/officeDocument/2006/relationships/hyperlink" Target="https://www.statisticstimes.com/economy/country/poland-gdp.php" TargetMode="External"/><Relationship Id="rId66" Type="http://schemas.openxmlformats.org/officeDocument/2006/relationships/hyperlink" Target="https://www.statisticstimes.com/economy/country/colombia-gdp.php" TargetMode="External"/><Relationship Id="rId87" Type="http://schemas.openxmlformats.org/officeDocument/2006/relationships/hyperlink" Target="https://www.statisticstimes.com/economy/country/canada-gdp.php" TargetMode="External"/><Relationship Id="rId110" Type="http://schemas.openxmlformats.org/officeDocument/2006/relationships/hyperlink" Target="https://www.statisticstimes.com/economy/country/singapore-gdp.php" TargetMode="External"/><Relationship Id="rId131" Type="http://schemas.openxmlformats.org/officeDocument/2006/relationships/image" Target="media/image11.jpeg"/><Relationship Id="rId152" Type="http://schemas.openxmlformats.org/officeDocument/2006/relationships/image" Target="media/image25.png"/><Relationship Id="rId173" Type="http://schemas.openxmlformats.org/officeDocument/2006/relationships/hyperlink" Target="mailto:query@prudential.co.za" TargetMode="External"/><Relationship Id="rId194" Type="http://schemas.openxmlformats.org/officeDocument/2006/relationships/image" Target="media/image41.png"/><Relationship Id="rId208" Type="http://schemas.openxmlformats.org/officeDocument/2006/relationships/hyperlink" Target="https://foreignpolicy.com/author/laurie-garrett/" TargetMode="External"/><Relationship Id="rId229" Type="http://schemas.openxmlformats.org/officeDocument/2006/relationships/hyperlink" Target="http://www.promedmail.org/post/20190322.6381354" TargetMode="External"/><Relationship Id="rId240" Type="http://schemas.openxmlformats.org/officeDocument/2006/relationships/hyperlink" Target="https://www.bloomberg.com/news/articles/2019-04-14/deadly-pig-disease-to-reshape-global-soybean-markets-for-years" TargetMode="External"/><Relationship Id="rId261" Type="http://schemas.openxmlformats.org/officeDocument/2006/relationships/image" Target="media/image55.jpeg"/><Relationship Id="rId14" Type="http://schemas.openxmlformats.org/officeDocument/2006/relationships/image" Target="media/image4.png"/><Relationship Id="rId35" Type="http://schemas.openxmlformats.org/officeDocument/2006/relationships/hyperlink" Target="https://www.statisticstimes.com/economy/country/australia-gdp.php" TargetMode="External"/><Relationship Id="rId56" Type="http://schemas.openxmlformats.org/officeDocument/2006/relationships/hyperlink" Target="https://www.statisticstimes.com/economy/country/uae-gdp.php" TargetMode="External"/><Relationship Id="rId77" Type="http://schemas.openxmlformats.org/officeDocument/2006/relationships/hyperlink" Target="https://www.statisticstimes.com/economy/country/germany-gdp.php" TargetMode="External"/><Relationship Id="rId100" Type="http://schemas.openxmlformats.org/officeDocument/2006/relationships/hyperlink" Target="https://www.statisticstimes.com/economy/country/argentina-gdp.php" TargetMode="External"/><Relationship Id="rId282" Type="http://schemas.openxmlformats.org/officeDocument/2006/relationships/hyperlink" Target="https://www.iol.co.za/business-report/why-western-cape-agriculture-matters-to-sa-economy-10007415" TargetMode="External"/><Relationship Id="rId8" Type="http://schemas.openxmlformats.org/officeDocument/2006/relationships/hyperlink" Target="https://www.fin24.com/" TargetMode="External"/><Relationship Id="rId98" Type="http://schemas.openxmlformats.org/officeDocument/2006/relationships/hyperlink" Target="https://www.statisticstimes.com/economy/country/nigeria-gdp.php" TargetMode="External"/><Relationship Id="rId121" Type="http://schemas.openxmlformats.org/officeDocument/2006/relationships/hyperlink" Target="https://www.statisticstimes.com/economy/country/iraq-gdp.php" TargetMode="External"/><Relationship Id="rId142" Type="http://schemas.openxmlformats.org/officeDocument/2006/relationships/image" Target="media/image19.png"/><Relationship Id="rId163" Type="http://schemas.openxmlformats.org/officeDocument/2006/relationships/hyperlink" Target="https://www.moonstone.co.za/category/compliance-and-legislation/" TargetMode="External"/><Relationship Id="rId184" Type="http://schemas.openxmlformats.org/officeDocument/2006/relationships/image" Target="media/image31.jpeg"/><Relationship Id="rId219" Type="http://schemas.openxmlformats.org/officeDocument/2006/relationships/hyperlink" Target="https://www.reuters.com/article/us-china-swinefever/african-swine-fever-hits-huge-foreign-invested-chinese-farm-idUSKCN1OW0RB" TargetMode="External"/><Relationship Id="rId230" Type="http://schemas.openxmlformats.org/officeDocument/2006/relationships/hyperlink" Target="http://www.fao.org/ag/againfo/programmes/en/empres/ASF/Situation_update.html" TargetMode="External"/><Relationship Id="rId251" Type="http://schemas.openxmlformats.org/officeDocument/2006/relationships/hyperlink" Target="https://www.pewtrusts.org/-/media/legacy/uploadedfiles/wwwpewtrustsorg/reports/health/pewheparinfinalhrpdf.pdf" TargetMode="External"/><Relationship Id="rId25" Type="http://schemas.openxmlformats.org/officeDocument/2006/relationships/hyperlink" Target="https://www.statisticstimes.com/economy/country/japan-gdp.php" TargetMode="External"/><Relationship Id="rId46" Type="http://schemas.openxmlformats.org/officeDocument/2006/relationships/hyperlink" Target="https://www.statisticstimes.com/economy/country/sweden-gdp.php" TargetMode="External"/><Relationship Id="rId67" Type="http://schemas.openxmlformats.org/officeDocument/2006/relationships/hyperlink" Target="https://www.statisticstimes.com/economy/country/finland-gdp.php" TargetMode="External"/><Relationship Id="rId272" Type="http://schemas.openxmlformats.org/officeDocument/2006/relationships/hyperlink" Target="https://iopscience.iop.org/article/10.1088/1748-9326/aae9f9/meta" TargetMode="External"/><Relationship Id="rId88" Type="http://schemas.openxmlformats.org/officeDocument/2006/relationships/hyperlink" Target="https://www.statisticstimes.com/economy/country/spain-gdp.php" TargetMode="External"/><Relationship Id="rId111" Type="http://schemas.openxmlformats.org/officeDocument/2006/relationships/hyperlink" Target="https://www.statisticstimes.com/economy/country/sweden-gdp.php" TargetMode="External"/><Relationship Id="rId132" Type="http://schemas.openxmlformats.org/officeDocument/2006/relationships/image" Target="media/image12.jpeg"/><Relationship Id="rId153" Type="http://schemas.openxmlformats.org/officeDocument/2006/relationships/image" Target="media/image26.png"/><Relationship Id="rId174" Type="http://schemas.openxmlformats.org/officeDocument/2006/relationships/hyperlink" Target="https://topforeignstocks.com/author/dhunkar_2018/" TargetMode="External"/><Relationship Id="rId195" Type="http://schemas.openxmlformats.org/officeDocument/2006/relationships/image" Target="media/image42.png"/><Relationship Id="rId209" Type="http://schemas.openxmlformats.org/officeDocument/2006/relationships/hyperlink" Target="https://foreignpolicy.com/2019/05/10/donald-trump-and-swine-flu-have-a-lot-in-common/" TargetMode="External"/><Relationship Id="rId220" Type="http://schemas.openxmlformats.org/officeDocument/2006/relationships/hyperlink" Target="https://foreignpolicy.com/subscribe" TargetMode="External"/><Relationship Id="rId241" Type="http://schemas.openxmlformats.org/officeDocument/2006/relationships/hyperlink" Target="http://time.com/5580126/china-swine-fever-pork-industry-spreading/" TargetMode="External"/><Relationship Id="rId15" Type="http://schemas.openxmlformats.org/officeDocument/2006/relationships/hyperlink" Target="https://businesstech.co.za/news/wp-content/uploads/2018/12/GDP-Q3-18.png" TargetMode="External"/><Relationship Id="rId36" Type="http://schemas.openxmlformats.org/officeDocument/2006/relationships/hyperlink" Target="https://www.statisticstimes.com/economy/country/spain-gdp.php" TargetMode="External"/><Relationship Id="rId57" Type="http://schemas.openxmlformats.org/officeDocument/2006/relationships/hyperlink" Target="https://www.statisticstimes.com/economy/country/denmark-gdp.php" TargetMode="External"/><Relationship Id="rId262" Type="http://schemas.openxmlformats.org/officeDocument/2006/relationships/hyperlink" Target="https://theconversation.com/profiles/mmatlou-kalaba-180824" TargetMode="External"/><Relationship Id="rId283" Type="http://schemas.openxmlformats.org/officeDocument/2006/relationships/hyperlink" Target="http://www.statssa.gov.za/?p=10658" TargetMode="External"/><Relationship Id="rId78" Type="http://schemas.openxmlformats.org/officeDocument/2006/relationships/hyperlink" Target="https://www.statisticstimes.com/economy/country/russia-gdp.php" TargetMode="External"/><Relationship Id="rId99" Type="http://schemas.openxmlformats.org/officeDocument/2006/relationships/hyperlink" Target="https://www.statisticstimes.com/economy/country/netherlands-gdp.php" TargetMode="External"/><Relationship Id="rId101" Type="http://schemas.openxmlformats.org/officeDocument/2006/relationships/hyperlink" Target="https://www.statisticstimes.com/economy/country/philippines-gdp.php" TargetMode="External"/><Relationship Id="rId122" Type="http://schemas.openxmlformats.org/officeDocument/2006/relationships/hyperlink" Target="https://www.statisticstimes.com/economy/country/israel-gdp.php" TargetMode="External"/><Relationship Id="rId143" Type="http://schemas.openxmlformats.org/officeDocument/2006/relationships/image" Target="media/image20.png"/><Relationship Id="rId164" Type="http://schemas.openxmlformats.org/officeDocument/2006/relationships/hyperlink" Target="https://t.e2ma.net/click/qjz88b/6bk46q/28yu1n" TargetMode="External"/><Relationship Id="rId185" Type="http://schemas.openxmlformats.org/officeDocument/2006/relationships/image" Target="media/image32.png"/><Relationship Id="rId9" Type="http://schemas.openxmlformats.org/officeDocument/2006/relationships/image" Target="media/image2.png"/><Relationship Id="rId210" Type="http://schemas.openxmlformats.org/officeDocument/2006/relationships/hyperlink" Target="https://foreignpolicy.com/2019/05/10/donald-trump-and-swine-flu-have-a-lot-in-common/" TargetMode="External"/><Relationship Id="rId26" Type="http://schemas.openxmlformats.org/officeDocument/2006/relationships/hyperlink" Target="https://www.statisticstimes.com/economy/country/germany-gdp.php" TargetMode="External"/><Relationship Id="rId231" Type="http://schemas.openxmlformats.org/officeDocument/2006/relationships/hyperlink" Target="https://www.forbes.com/sites/donaldmarvin/2019/05/06/u-s-pork-industry-works-to-contain-african-swine-fever/" TargetMode="External"/><Relationship Id="rId252" Type="http://schemas.openxmlformats.org/officeDocument/2006/relationships/hyperlink" Target="https://www.theguardian.com/world/2019/jan/02/brazil-jair-bolsonaro-amazon-rainforest-protections" TargetMode="External"/><Relationship Id="rId273" Type="http://schemas.openxmlformats.org/officeDocument/2006/relationships/hyperlink" Target="https://www.iol.co.za/news/south-africa/western-cape/cape-town-gets-even-tougher-on-water-restrictions-7512713" TargetMode="External"/><Relationship Id="rId47" Type="http://schemas.openxmlformats.org/officeDocument/2006/relationships/hyperlink" Target="https://www.statisticstimes.com/economy/country/belgium-gdp.php" TargetMode="External"/><Relationship Id="rId68" Type="http://schemas.openxmlformats.org/officeDocument/2006/relationships/hyperlink" Target="https://www.statisticstimes.com/economy/country/pakistan-gdp.php" TargetMode="External"/><Relationship Id="rId89" Type="http://schemas.openxmlformats.org/officeDocument/2006/relationships/hyperlink" Target="https://www.statisticstimes.com/economy/country/saudi-arabia-gdp.php" TargetMode="External"/><Relationship Id="rId112" Type="http://schemas.openxmlformats.org/officeDocument/2006/relationships/hyperlink" Target="https://www.statisticstimes.com/economy/country/ukraine-gdp.php" TargetMode="External"/><Relationship Id="rId133" Type="http://schemas.openxmlformats.org/officeDocument/2006/relationships/image" Target="media/image13.png"/><Relationship Id="rId154" Type="http://schemas.openxmlformats.org/officeDocument/2006/relationships/hyperlink" Target="https://www.businessinsider.co.za/lower-interest-rates-boost-shares-2019-6" TargetMode="External"/><Relationship Id="rId175" Type="http://schemas.openxmlformats.org/officeDocument/2006/relationships/hyperlink" Target="https://topforeignstocks.com/2014/01/08/south-africas-ftsejse-all-share-index-returns-by-year/" TargetMode="External"/><Relationship Id="rId196" Type="http://schemas.openxmlformats.org/officeDocument/2006/relationships/image" Target="media/image43.png"/><Relationship Id="rId200" Type="http://schemas.openxmlformats.org/officeDocument/2006/relationships/image" Target="media/image47.png"/><Relationship Id="rId16" Type="http://schemas.openxmlformats.org/officeDocument/2006/relationships/image" Target="media/image5.png"/><Relationship Id="rId221" Type="http://schemas.openxmlformats.org/officeDocument/2006/relationships/hyperlink" Target="https://veterinaryrecord.bmj.com/content/183/9/300.2" TargetMode="External"/><Relationship Id="rId242" Type="http://schemas.openxmlformats.org/officeDocument/2006/relationships/hyperlink" Target="https://apps.fas.usda.gov/psdonline/circulars/oilseeds.pdf" TargetMode="External"/><Relationship Id="rId263" Type="http://schemas.openxmlformats.org/officeDocument/2006/relationships/hyperlink" Target="https://theconversation.com/institutions/university-of-pretoria-1645" TargetMode="External"/><Relationship Id="rId284" Type="http://schemas.openxmlformats.org/officeDocument/2006/relationships/hyperlink" Target="https://agbiz.co.za/news/632/105/Western-Cape-drought-weighs-on-broader-agricultural-economy" TargetMode="External"/><Relationship Id="rId37" Type="http://schemas.openxmlformats.org/officeDocument/2006/relationships/hyperlink" Target="https://www.statisticstimes.com/economy/country/mexico-gdp.php" TargetMode="External"/><Relationship Id="rId58" Type="http://schemas.openxmlformats.org/officeDocument/2006/relationships/hyperlink" Target="https://www.statisticstimes.com/economy/country/egypt-gdp.php" TargetMode="External"/><Relationship Id="rId79" Type="http://schemas.openxmlformats.org/officeDocument/2006/relationships/hyperlink" Target="https://www.statisticstimes.com/economy/country/indonesia-gdp.php" TargetMode="External"/><Relationship Id="rId102" Type="http://schemas.openxmlformats.org/officeDocument/2006/relationships/hyperlink" Target="https://www.statisticstimes.com/economy/country/malaysia-gdp.php" TargetMode="External"/><Relationship Id="rId123" Type="http://schemas.openxmlformats.org/officeDocument/2006/relationships/hyperlink" Target="https://www.statisticstimes.com/economy/projected-world-gdp-ranking.php" TargetMode="External"/><Relationship Id="rId144" Type="http://schemas.openxmlformats.org/officeDocument/2006/relationships/image" Target="media/image21.png"/><Relationship Id="rId90" Type="http://schemas.openxmlformats.org/officeDocument/2006/relationships/hyperlink" Target="https://www.statisticstimes.com/economy/country/taiwan-gdp.php" TargetMode="External"/><Relationship Id="rId165" Type="http://schemas.openxmlformats.org/officeDocument/2006/relationships/hyperlink" Target="https://www.moonstone.co.za/continuous-professional-development-are-your-hours-adding-up/" TargetMode="External"/><Relationship Id="rId186" Type="http://schemas.openxmlformats.org/officeDocument/2006/relationships/image" Target="media/image33.png"/><Relationship Id="rId211" Type="http://schemas.openxmlformats.org/officeDocument/2006/relationships/image" Target="media/image52.png"/><Relationship Id="rId232" Type="http://schemas.openxmlformats.org/officeDocument/2006/relationships/hyperlink" Target="http://kticradio.com/agricultural/africa-swine-fever-virus-detected-in-luggage-from-shanghai/" TargetMode="External"/><Relationship Id="rId253" Type="http://schemas.openxmlformats.org/officeDocument/2006/relationships/hyperlink" Target="https://foreignpolicy.com/2019/05/10/donald-trump-and-swine-flu-have-a-lot-in-common/" TargetMode="External"/><Relationship Id="rId274" Type="http://schemas.openxmlformats.org/officeDocument/2006/relationships/hyperlink" Target="https://www.enca.com/south-africa/western-cape-drought-impact-on-agriculture-estimated-at-r5bn" TargetMode="External"/><Relationship Id="rId27" Type="http://schemas.openxmlformats.org/officeDocument/2006/relationships/hyperlink" Target="https://www.statisticstimes.com/economy/country/uk-gdp.php" TargetMode="External"/><Relationship Id="rId48" Type="http://schemas.openxmlformats.org/officeDocument/2006/relationships/hyperlink" Target="https://www.statisticstimes.com/economy/country/thailand-gdp.php" TargetMode="External"/><Relationship Id="rId69" Type="http://schemas.openxmlformats.org/officeDocument/2006/relationships/hyperlink" Target="https://www.statisticstimes.com/economy/country/romania-gdp.php" TargetMode="External"/><Relationship Id="rId113" Type="http://schemas.openxmlformats.org/officeDocument/2006/relationships/hyperlink" Target="https://www.statisticstimes.com/economy/country/ireland-gdp.php" TargetMode="External"/><Relationship Id="rId134" Type="http://schemas.openxmlformats.org/officeDocument/2006/relationships/image" Target="media/image14.png"/><Relationship Id="rId80" Type="http://schemas.openxmlformats.org/officeDocument/2006/relationships/hyperlink" Target="https://www.statisticstimes.com/economy/country/brazil-gdp.php" TargetMode="External"/><Relationship Id="rId155" Type="http://schemas.openxmlformats.org/officeDocument/2006/relationships/hyperlink" Target="https://www.businesslive.co.za/buy/" TargetMode="External"/><Relationship Id="rId176" Type="http://schemas.openxmlformats.org/officeDocument/2006/relationships/hyperlink" Target="http://www.ftse.com/Analytics/FactSheets/Home/DownloadSingleIssue?issueName=J203" TargetMode="External"/><Relationship Id="rId197" Type="http://schemas.openxmlformats.org/officeDocument/2006/relationships/image" Target="media/image44.png"/><Relationship Id="rId201" Type="http://schemas.openxmlformats.org/officeDocument/2006/relationships/image" Target="media/image48.png"/><Relationship Id="rId222" Type="http://schemas.openxmlformats.org/officeDocument/2006/relationships/hyperlink" Target="http://focustaiwan.tw/news/asoc/201901240022.aspx" TargetMode="External"/><Relationship Id="rId243" Type="http://schemas.openxmlformats.org/officeDocument/2006/relationships/hyperlink" Target="https://www.bloomberg.com/news/articles/2019-04-15/as-trade-war-simmers-u-s-soybean-shipments-hit-one-year-low" TargetMode="External"/><Relationship Id="rId264" Type="http://schemas.openxmlformats.org/officeDocument/2006/relationships/hyperlink" Target="https://theconversation.com/africa/partners" TargetMode="External"/><Relationship Id="rId285" Type="http://schemas.openxmlformats.org/officeDocument/2006/relationships/hyperlink" Target="https://www.forbesafrica.com/agriculture/2019/01/27/south-africa-farmers-seek-220-million-in-drought-aid/" TargetMode="External"/><Relationship Id="rId17" Type="http://schemas.openxmlformats.org/officeDocument/2006/relationships/hyperlink" Target="https://businesstech.co.za/news/wp-content/uploads/2018/12/GDP-performance.png" TargetMode="External"/><Relationship Id="rId38" Type="http://schemas.openxmlformats.org/officeDocument/2006/relationships/hyperlink" Target="https://www.statisticstimes.com/economy/country/indonesia-gdp.php" TargetMode="External"/><Relationship Id="rId59" Type="http://schemas.openxmlformats.org/officeDocument/2006/relationships/hyperlink" Target="https://www.statisticstimes.com/economy/country/philippines-gdp.php" TargetMode="External"/><Relationship Id="rId103" Type="http://schemas.openxmlformats.org/officeDocument/2006/relationships/hyperlink" Target="https://www.statisticstimes.com/economy/country/bangladesh-gdp.php" TargetMode="External"/><Relationship Id="rId124" Type="http://schemas.openxmlformats.org/officeDocument/2006/relationships/hyperlink" Target="https://businesstech.co.za/news/author/news24wire/" TargetMode="External"/><Relationship Id="rId70" Type="http://schemas.openxmlformats.org/officeDocument/2006/relationships/hyperlink" Target="https://www.statisticstimes.com/economy/country/czechia-gdp.php" TargetMode="External"/><Relationship Id="rId91" Type="http://schemas.openxmlformats.org/officeDocument/2006/relationships/hyperlink" Target="https://www.statisticstimes.com/economy/country/australia-gdp.php" TargetMode="External"/><Relationship Id="rId145" Type="http://schemas.openxmlformats.org/officeDocument/2006/relationships/hyperlink" Target="https://www.southafricanmi.com/blog-14nov2017.html" TargetMode="External"/><Relationship Id="rId166" Type="http://schemas.openxmlformats.org/officeDocument/2006/relationships/hyperlink" Target="https://www.investor.gov/glossary/glossary_terms/risk" TargetMode="External"/><Relationship Id="rId187" Type="http://schemas.openxmlformats.org/officeDocument/2006/relationships/image" Target="media/image34.png"/><Relationship Id="rId1" Type="http://schemas.openxmlformats.org/officeDocument/2006/relationships/numbering" Target="numbering.xml"/><Relationship Id="rId212" Type="http://schemas.openxmlformats.org/officeDocument/2006/relationships/hyperlink" Target="https://www.bloomberg.com/news/articles/2019-05-02/pig-ebola-virus-sends-shock-waves-through-global-food-chain?cmpid=socialflow-twitter-business&amp;utm_medium=social&amp;utm_content=business&amp;utm_source=twitter&amp;utm_campaign=socialflow-organic" TargetMode="External"/><Relationship Id="rId233" Type="http://schemas.openxmlformats.org/officeDocument/2006/relationships/hyperlink" Target="http://focustaiwan.tw/news/asoc/201901240022.aspx" TargetMode="External"/><Relationship Id="rId254" Type="http://schemas.openxmlformats.org/officeDocument/2006/relationships/image" Target="media/image53.jpeg"/><Relationship Id="rId28" Type="http://schemas.openxmlformats.org/officeDocument/2006/relationships/hyperlink" Target="https://www.statisticstimes.com/economy/country/india-gdp.php" TargetMode="External"/><Relationship Id="rId49" Type="http://schemas.openxmlformats.org/officeDocument/2006/relationships/hyperlink" Target="https://www.statisticstimes.com/economy/country/ireland-gdp.php" TargetMode="External"/><Relationship Id="rId114" Type="http://schemas.openxmlformats.org/officeDocument/2006/relationships/hyperlink" Target="https://www.statisticstimes.com/economy/country/kazakhstan-gdp.php" TargetMode="External"/><Relationship Id="rId275" Type="http://schemas.openxmlformats.org/officeDocument/2006/relationships/hyperlink" Target="https://agbiz.co.za/news/632/105/Western-Cape-drought-weighs-on-broader-agricultural-economy" TargetMode="External"/><Relationship Id="rId60" Type="http://schemas.openxmlformats.org/officeDocument/2006/relationships/hyperlink" Target="https://www.statisticstimes.com/economy/country/singapore-gdp.php" TargetMode="External"/><Relationship Id="rId81" Type="http://schemas.openxmlformats.org/officeDocument/2006/relationships/hyperlink" Target="https://www.statisticstimes.com/economy/country/france-gdp.php" TargetMode="External"/><Relationship Id="rId135" Type="http://schemas.openxmlformats.org/officeDocument/2006/relationships/image" Target="media/image15.png"/><Relationship Id="rId156" Type="http://schemas.openxmlformats.org/officeDocument/2006/relationships/hyperlink" Target="https://www.businesslive.co.za/bd/markets/2019-08-01-hawkish-comments-from-us-fed-push-jse-lower/" TargetMode="External"/><Relationship Id="rId177" Type="http://schemas.openxmlformats.org/officeDocument/2006/relationships/hyperlink" Target="https://topforeignstocks.com/wp-content/uploads/2014/01/FTSE-JSE-All-Share-Index-Top-10-Components.png" TargetMode="External"/><Relationship Id="rId198" Type="http://schemas.openxmlformats.org/officeDocument/2006/relationships/image" Target="media/image45.png"/><Relationship Id="rId202" Type="http://schemas.openxmlformats.org/officeDocument/2006/relationships/image" Target="media/image49.png"/><Relationship Id="rId223" Type="http://schemas.openxmlformats.org/officeDocument/2006/relationships/hyperlink" Target="https://www.reuters.com/article/us-china-swinefever/china-blames-feeding-kitchen-waste-to-pigs-for-african-swine-fever-spread-idUSKCN1MY147" TargetMode="External"/><Relationship Id="rId244" Type="http://schemas.openxmlformats.org/officeDocument/2006/relationships/hyperlink" Target="https://www.porkbusiness.com/article/asf-causes-train-wreck-slow-motion-soybean-market" TargetMode="External"/><Relationship Id="rId18" Type="http://schemas.openxmlformats.org/officeDocument/2006/relationships/image" Target="media/image6.png"/><Relationship Id="rId39" Type="http://schemas.openxmlformats.org/officeDocument/2006/relationships/hyperlink" Target="https://www.statisticstimes.com/economy/country/iran-gdp.php" TargetMode="External"/><Relationship Id="rId265" Type="http://schemas.openxmlformats.org/officeDocument/2006/relationships/hyperlink" Target="mailto:?subject=How%20droughts%20will%20affect%20South%20Africa%27s%20broader%20economy%20%E2%80%94%20The%20Conversation&amp;body=Hi.%20I%20found%20an%20article%20that%20you%20might%20like%3A%20%22How%20droughts%20will%20affect%20South%20Africa%27s%20broader%20economy%22%20%E2%80%94%20https%3A%2F%2Ftheconversation.com%2Fhow-droughts-will-affect-south-africas-broader-economy-111378" TargetMode="External"/><Relationship Id="rId286" Type="http://schemas.openxmlformats.org/officeDocument/2006/relationships/hyperlink" Target="https://www.fin24.com/Economy/sa-reserve-bank-sees-higher-rates-to-curb-inflation-20181030" TargetMode="External"/><Relationship Id="rId50" Type="http://schemas.openxmlformats.org/officeDocument/2006/relationships/hyperlink" Target="https://www.statisticstimes.com/economy/country/austria-gdp.php" TargetMode="External"/><Relationship Id="rId104" Type="http://schemas.openxmlformats.org/officeDocument/2006/relationships/hyperlink" Target="https://www.statisticstimes.com/economy/country/south-africa-gdp.php" TargetMode="External"/><Relationship Id="rId125" Type="http://schemas.openxmlformats.org/officeDocument/2006/relationships/hyperlink" Target="https://businesstech.co.za/news/wealth/110605/what-the-rate-hike-means-for-your-bond/" TargetMode="External"/><Relationship Id="rId146" Type="http://schemas.openxmlformats.org/officeDocument/2006/relationships/hyperlink" Target="https://www.southafricanmi.com/south-africas-fiscal-policy.html" TargetMode="External"/><Relationship Id="rId167" Type="http://schemas.openxmlformats.org/officeDocument/2006/relationships/hyperlink" Target="http://www.sipc.org" TargetMode="External"/><Relationship Id="rId188" Type="http://schemas.openxmlformats.org/officeDocument/2006/relationships/image" Target="media/image35.png"/><Relationship Id="rId71" Type="http://schemas.openxmlformats.org/officeDocument/2006/relationships/hyperlink" Target="https://www.statisticstimes.com/economy/country/portugal-gdp.php" TargetMode="External"/><Relationship Id="rId92" Type="http://schemas.openxmlformats.org/officeDocument/2006/relationships/hyperlink" Target="https://www.statisticstimes.com/economy/country/poland-gdp.php" TargetMode="External"/><Relationship Id="rId213" Type="http://schemas.openxmlformats.org/officeDocument/2006/relationships/hyperlink" Target="http://www.oie.int/wahis_2/public/wahid.php/Reviewreport/Review?page_refer=MapFullEventReport&amp;reportid=27442" TargetMode="External"/><Relationship Id="rId234" Type="http://schemas.openxmlformats.org/officeDocument/2006/relationships/hyperlink" Target="https://www.swinehealth.org/wp-content/uploads/2019/01/Jan2019-GSDMR.pdf" TargetMode="External"/><Relationship Id="rId2" Type="http://schemas.openxmlformats.org/officeDocument/2006/relationships/styles" Target="styles.xml"/><Relationship Id="rId29" Type="http://schemas.openxmlformats.org/officeDocument/2006/relationships/hyperlink" Target="https://www.statisticstimes.com/economy/country/france-gdp.php" TargetMode="External"/><Relationship Id="rId255" Type="http://schemas.openxmlformats.org/officeDocument/2006/relationships/hyperlink" Target="https://www.theguardian.com/environment/2016/jul/21/2016-worlds-hottest-year-on-record-un-wmo" TargetMode="External"/><Relationship Id="rId276" Type="http://schemas.openxmlformats.org/officeDocument/2006/relationships/hyperlink" Target="https://www.iol.co.za/business-report/why-western-cape-agriculture-matters-to-sa-economy-10007415" TargetMode="External"/><Relationship Id="rId40" Type="http://schemas.openxmlformats.org/officeDocument/2006/relationships/hyperlink" Target="https://www.statisticstimes.com/economy/country/netherlands-gdp.php" TargetMode="External"/><Relationship Id="rId115" Type="http://schemas.openxmlformats.org/officeDocument/2006/relationships/hyperlink" Target="https://www.statisticstimes.com/economy/country/algeria-gdp.php" TargetMode="External"/><Relationship Id="rId136" Type="http://schemas.openxmlformats.org/officeDocument/2006/relationships/image" Target="media/image16.png"/><Relationship Id="rId157" Type="http://schemas.openxmlformats.org/officeDocument/2006/relationships/hyperlink" Target="https://www.cnbc.com/hugh-son/" TargetMode="External"/><Relationship Id="rId178" Type="http://schemas.openxmlformats.org/officeDocument/2006/relationships/image" Target="media/image28.png"/><Relationship Id="rId61" Type="http://schemas.openxmlformats.org/officeDocument/2006/relationships/hyperlink" Target="https://www.statisticstimes.com/economy/country/malaysia-gdp.php" TargetMode="External"/><Relationship Id="rId82" Type="http://schemas.openxmlformats.org/officeDocument/2006/relationships/hyperlink" Target="https://www.statisticstimes.com/economy/country/uk-gdp.php" TargetMode="External"/><Relationship Id="rId199" Type="http://schemas.openxmlformats.org/officeDocument/2006/relationships/image" Target="media/image46.png"/><Relationship Id="rId203" Type="http://schemas.openxmlformats.org/officeDocument/2006/relationships/image" Target="media/image50.png"/><Relationship Id="rId19" Type="http://schemas.openxmlformats.org/officeDocument/2006/relationships/hyperlink" Target="https://businesstech.co.za/news/finance/289132/south-africa-moves-out-of-recession/" TargetMode="External"/><Relationship Id="rId224" Type="http://schemas.openxmlformats.org/officeDocument/2006/relationships/hyperlink" Target="https://www.food.gov.uk/safety-hygiene/bovine-spongiform-encephalopathy-bse" TargetMode="External"/><Relationship Id="rId245" Type="http://schemas.openxmlformats.org/officeDocument/2006/relationships/hyperlink" Target="https://apps.fas.usda.gov/psdonline/circulars/oilseeds.pdf" TargetMode="External"/><Relationship Id="rId266" Type="http://schemas.openxmlformats.org/officeDocument/2006/relationships/hyperlink" Target="http://twitter.com/intent/tweet?text=How+droughts+will+affect+South+Africa%27s+broader+economy&amp;url=https%3A%2F%2Ftheconversation.com%2Fhow-droughts-will-affect-south-africas-broader-economy-111378%3Futm_source%3Dtwitter%26utm_medium%3Dbylinetwitterbutton&amp;utm_campaign=none&amp;via=TC_Africa" TargetMode="External"/><Relationship Id="rId287" Type="http://schemas.openxmlformats.org/officeDocument/2006/relationships/hyperlink" Target="https://theconversation.com/how-droughts-will-affect-south-africas-broader-economy-111378" TargetMode="External"/><Relationship Id="rId30" Type="http://schemas.openxmlformats.org/officeDocument/2006/relationships/hyperlink" Target="https://www.statisticstimes.com/economy/country/italy-gdp.php" TargetMode="External"/><Relationship Id="rId105" Type="http://schemas.openxmlformats.org/officeDocument/2006/relationships/hyperlink" Target="https://www.statisticstimes.com/economy/country/colombia-gdp.php" TargetMode="External"/><Relationship Id="rId126" Type="http://schemas.openxmlformats.org/officeDocument/2006/relationships/image" Target="media/image7.png"/><Relationship Id="rId147" Type="http://schemas.openxmlformats.org/officeDocument/2006/relationships/hyperlink" Target="https://www.businessinsider.co.za/Author/Helena%20Wasserman" TargetMode="External"/><Relationship Id="rId168" Type="http://schemas.openxmlformats.org/officeDocument/2006/relationships/hyperlink" Target="https://www.investor.gov/introduction-investing/investing-basics/what-risk" TargetMode="External"/><Relationship Id="rId51" Type="http://schemas.openxmlformats.org/officeDocument/2006/relationships/hyperlink" Target="https://www.statisticstimes.com/economy/country/nigeria-gdp.php" TargetMode="External"/><Relationship Id="rId72" Type="http://schemas.openxmlformats.org/officeDocument/2006/relationships/hyperlink" Target="https://www.statisticstimes.com/economy/country/new-zealand-gdp.php" TargetMode="External"/><Relationship Id="rId93" Type="http://schemas.openxmlformats.org/officeDocument/2006/relationships/hyperlink" Target="https://www.statisticstimes.com/economy/country/egypt-gdp.php" TargetMode="External"/><Relationship Id="rId189" Type="http://schemas.openxmlformats.org/officeDocument/2006/relationships/image" Target="media/image36.png"/><Relationship Id="rId3" Type="http://schemas.openxmlformats.org/officeDocument/2006/relationships/settings" Target="settings.xml"/><Relationship Id="rId214" Type="http://schemas.openxmlformats.org/officeDocument/2006/relationships/hyperlink" Target="http://www.oie.int/en/animal-health-in-the-world/animal-diseases/african-swine-fever/" TargetMode="External"/><Relationship Id="rId235" Type="http://schemas.openxmlformats.org/officeDocument/2006/relationships/hyperlink" Target="https://www.swinehealth.org/wp-content/uploads/2019/01/Jan2019-GSDMR.pdf" TargetMode="External"/><Relationship Id="rId256" Type="http://schemas.openxmlformats.org/officeDocument/2006/relationships/hyperlink" Target="http://www.nasa.gov/" TargetMode="External"/><Relationship Id="rId277" Type="http://schemas.openxmlformats.org/officeDocument/2006/relationships/hyperlink" Target="http://www.statssa.gov.za/publications/P0441/P04413rdQuarter2018.pdf" TargetMode="External"/><Relationship Id="rId116" Type="http://schemas.openxmlformats.org/officeDocument/2006/relationships/hyperlink" Target="https://www.statisticstimes.com/economy/country/austria-gdp.php" TargetMode="External"/><Relationship Id="rId137" Type="http://schemas.openxmlformats.org/officeDocument/2006/relationships/hyperlink" Target="http://www.sharenet.co.za" TargetMode="External"/><Relationship Id="rId158" Type="http://schemas.openxmlformats.org/officeDocument/2006/relationships/hyperlink" Target="https://twitter.com/hugh_son" TargetMode="External"/><Relationship Id="rId20" Type="http://schemas.openxmlformats.org/officeDocument/2006/relationships/hyperlink" Target="https://www.imf.org/en/Publications/WEO/weo-database/2021/October/weo-report?c=512,914,612,171,614,311,213,911,314,193,122,912,313,419,513,316,913,124,339,638,514,218,963,616,223,516,918,748,618,624,522,622,156,626,628,228,924,233,632,636,634,238,662,960,423,935,128,611,321,243,248,469,253,642,643,939,734,644,819,172,132,646,648,915,134,652,174,328,258,656,654,336,263,268,532,944,176,534,536,429,433,178,436,136,343,158,439,916,664,826,542,967,443,917,544,941,446,666,668,672,946,137,546,674,676,548,556,678,181,867,682,684,273,868,921,948,943,686,688,518,728,836,558,138,196,278,692,694,962,142,449,564,565,283,853,288,293,566,964,182,359,453,968,922,714,862,135,716,456,722,942,718,724,576,936,961,813,726,199,733,184,524,361,362,364,732,366,144,146,463,528,923,738,578,537,742,866,369,744,186,925,869,746,926,466,112,111,298,927,846,299,582,487,474,754,698,&amp;s=NGDPD,PPPGDP,&amp;sy=2020&amp;ey=2021&amp;ssm=0&amp;scsm=0&amp;scc=0&amp;ssd=1&amp;ssc=0&amp;sic=0&amp;sort=country&amp;ds=.&amp;br=1" TargetMode="External"/><Relationship Id="rId41" Type="http://schemas.openxmlformats.org/officeDocument/2006/relationships/hyperlink" Target="https://www.statisticstimes.com/economy/country/saudi-arabia-gdp.php" TargetMode="External"/><Relationship Id="rId62" Type="http://schemas.openxmlformats.org/officeDocument/2006/relationships/hyperlink" Target="https://www.statisticstimes.com/economy/country/hong-kong-gdp.php" TargetMode="External"/><Relationship Id="rId83" Type="http://schemas.openxmlformats.org/officeDocument/2006/relationships/hyperlink" Target="https://www.statisticstimes.com/economy/country/turkey-gdp.php" TargetMode="External"/><Relationship Id="rId179" Type="http://schemas.openxmlformats.org/officeDocument/2006/relationships/hyperlink" Target="https://www.google.com/url?sa=t&amp;rct=j&amp;q=&amp;esrc=s&amp;source=web&amp;cd=4&amp;cad=rja&amp;ved=0CFUQFjAD&amp;url=http%3A%2F%2Fwww.ftse.com%2FAnalytics%2FFactSheets%2FHome%2FDownloadSingleIssue%3FissueName%3DJ203&amp;ei=JODIUsLrCYm2kQei8oCgBA&amp;usg=AFQjCNFy2BeejmJO3yNTxGaj0WjSkPH5WA&amp;sig2=B6A5gKCFeagvvICyJfr74w&amp;bvm=bv.58187178,d.eW0" TargetMode="External"/><Relationship Id="rId190" Type="http://schemas.openxmlformats.org/officeDocument/2006/relationships/image" Target="media/image37.png"/><Relationship Id="rId204" Type="http://schemas.openxmlformats.org/officeDocument/2006/relationships/hyperlink" Target="https://financialmarketsjournal.co.za/long-term-real-investment-returns/" TargetMode="External"/><Relationship Id="rId225" Type="http://schemas.openxmlformats.org/officeDocument/2006/relationships/hyperlink" Target="https://www.daera-ni.gov.uk/articles/bse-feed-controls" TargetMode="External"/><Relationship Id="rId246" Type="http://schemas.openxmlformats.org/officeDocument/2006/relationships/hyperlink" Target="https://www.bloomberg.com/news/articles/2019-04-14/deadly-pig-disease-to-reshape-global-soybean-markets-for-years" TargetMode="External"/><Relationship Id="rId267" Type="http://schemas.openxmlformats.org/officeDocument/2006/relationships/hyperlink" Target="http://www.facebook.com/sharer.php?u=https%3A%2F%2Ftheconversation.com%2Fhow-droughts-will-affect-south-africas-broader-economy-111378%3Futm_source%3Dfacebook%26utm_medium%3Dbylinefacebookbutton" TargetMode="External"/><Relationship Id="rId288" Type="http://schemas.openxmlformats.org/officeDocument/2006/relationships/fontTable" Target="fontTable.xml"/><Relationship Id="rId106" Type="http://schemas.openxmlformats.org/officeDocument/2006/relationships/hyperlink" Target="https://www.statisticstimes.com/economy/country/uae-gdp.php" TargetMode="External"/><Relationship Id="rId127" Type="http://schemas.openxmlformats.org/officeDocument/2006/relationships/hyperlink" Target="https://businesstech.co.za/news/wealth/110605/what-the-rate-hike-means-for-your-bond/" TargetMode="External"/><Relationship Id="rId10" Type="http://schemas.openxmlformats.org/officeDocument/2006/relationships/image" Target="media/image3.jpeg"/><Relationship Id="rId31" Type="http://schemas.openxmlformats.org/officeDocument/2006/relationships/hyperlink" Target="https://www.statisticstimes.com/economy/country/canada-gdp.php" TargetMode="External"/><Relationship Id="rId52" Type="http://schemas.openxmlformats.org/officeDocument/2006/relationships/hyperlink" Target="https://www.statisticstimes.com/economy/country/israel-gdp.php" TargetMode="External"/><Relationship Id="rId73" Type="http://schemas.openxmlformats.org/officeDocument/2006/relationships/hyperlink" Target="https://www.statisticstimes.com/economy/country/china-gdp.php" TargetMode="External"/><Relationship Id="rId94" Type="http://schemas.openxmlformats.org/officeDocument/2006/relationships/hyperlink" Target="https://www.statisticstimes.com/economy/country/thailand-gdp.php" TargetMode="External"/><Relationship Id="rId148" Type="http://schemas.openxmlformats.org/officeDocument/2006/relationships/image" Target="media/image22.jpeg"/><Relationship Id="rId169" Type="http://schemas.openxmlformats.org/officeDocument/2006/relationships/hyperlink" Target="https://www.prudential.co.za/insights/articlesreleases/savvy-investors-understand-their-risk-profile/" TargetMode="External"/><Relationship Id="rId4" Type="http://schemas.openxmlformats.org/officeDocument/2006/relationships/webSettings" Target="webSettings.xml"/><Relationship Id="rId180" Type="http://schemas.openxmlformats.org/officeDocument/2006/relationships/hyperlink" Target="https://topforeignstocks.com/wp-content/uploads/2014/01/FTSE-JSE-All-Share-Returns-by-Year-1974-Thrru-2017.png" TargetMode="External"/><Relationship Id="rId215" Type="http://schemas.openxmlformats.org/officeDocument/2006/relationships/hyperlink" Target="https://www.forbes.com/sites/donaldmarvin/2019/05/06/u-s-pork-industry-works-to-contain-african-swine-fever/" TargetMode="External"/><Relationship Id="rId236" Type="http://schemas.openxmlformats.org/officeDocument/2006/relationships/hyperlink" Target="https://www.forbes.com/sites/donaldmarvin/2019/05/06/u-s-pork-industry-works-to-contain-african-swine-fever/" TargetMode="External"/><Relationship Id="rId257" Type="http://schemas.openxmlformats.org/officeDocument/2006/relationships/image" Target="media/image54.jpeg"/><Relationship Id="rId278" Type="http://schemas.openxmlformats.org/officeDocument/2006/relationships/hyperlink" Target="https://www.businessinsider.co.za/the-impact-of-the-cape-town-drought-on-tourism-was-rather-tiny-2018-7" TargetMode="External"/><Relationship Id="rId42" Type="http://schemas.openxmlformats.org/officeDocument/2006/relationships/hyperlink" Target="https://www.statisticstimes.com/economy/country/switzerland-gdp.php" TargetMode="External"/><Relationship Id="rId84" Type="http://schemas.openxmlformats.org/officeDocument/2006/relationships/hyperlink" Target="https://www.statisticstimes.com/economy/country/italy-gdp.php" TargetMode="External"/><Relationship Id="rId138" Type="http://schemas.openxmlformats.org/officeDocument/2006/relationships/hyperlink" Target="http://www.statssa.gov.za/?p=11983" TargetMode="External"/><Relationship Id="rId191" Type="http://schemas.openxmlformats.org/officeDocument/2006/relationships/image" Target="media/image38.png"/><Relationship Id="rId205" Type="http://schemas.openxmlformats.org/officeDocument/2006/relationships/hyperlink" Target="https://lh3.googleusercontent.com/H_RMngZhpUOLQL-6SbFRfB_X8n0F68hVTna9UiHsFdXI7_kuDiuwH0dSdnQXFVzz3Nr9O3FYxMWRqfJ_ZRuKJR7k1lq5-UlR=s1200" TargetMode="External"/><Relationship Id="rId247" Type="http://schemas.openxmlformats.org/officeDocument/2006/relationships/hyperlink" Target="https://www.reuters.com/article/us-china-economy-output-pork/china-warns-of-soaring-pork-prices-as-virus-curbs-output-idUSKCN1RT0A5" TargetMode="External"/><Relationship Id="rId107" Type="http://schemas.openxmlformats.org/officeDocument/2006/relationships/hyperlink" Target="https://www.statisticstimes.com/economy/country/switzerland-gdp.php" TargetMode="External"/><Relationship Id="rId289" Type="http://schemas.openxmlformats.org/officeDocument/2006/relationships/theme" Target="theme/theme1.xml"/><Relationship Id="rId11" Type="http://schemas.openxmlformats.org/officeDocument/2006/relationships/hyperlink" Target="https://www.news24.com/fin24/Economy/sa-in-longest-downward-business-cycle-since-1945-report-20181008" TargetMode="External"/><Relationship Id="rId53" Type="http://schemas.openxmlformats.org/officeDocument/2006/relationships/hyperlink" Target="https://www.statisticstimes.com/economy/country/argentina-gdp.php" TargetMode="External"/><Relationship Id="rId149" Type="http://schemas.openxmlformats.org/officeDocument/2006/relationships/hyperlink" Target="https://www.businessinsider.co.za/" TargetMode="External"/><Relationship Id="rId95" Type="http://schemas.openxmlformats.org/officeDocument/2006/relationships/hyperlink" Target="https://www.statisticstimes.com/economy/country/iran-gdp.php" TargetMode="External"/><Relationship Id="rId160" Type="http://schemas.openxmlformats.org/officeDocument/2006/relationships/image" Target="media/image27.jpeg"/><Relationship Id="rId216" Type="http://schemas.openxmlformats.org/officeDocument/2006/relationships/hyperlink" Target="https://www.ncbi.nlm.nih.gov/pmc/articles/PMC5844645/" TargetMode="External"/><Relationship Id="rId258" Type="http://schemas.openxmlformats.org/officeDocument/2006/relationships/hyperlink" Target="https://www.environment.gov.za/sites/default/files/docs/nccr_whitepaper.pdf" TargetMode="External"/><Relationship Id="rId22" Type="http://schemas.openxmlformats.org/officeDocument/2006/relationships/hyperlink" Target="https://www.statisticstimes.com/economy/largest-economies-in-the-world.php" TargetMode="External"/><Relationship Id="rId64" Type="http://schemas.openxmlformats.org/officeDocument/2006/relationships/hyperlink" Target="https://www.statisticstimes.com/economy/country/bangladesh-gdp.php" TargetMode="External"/><Relationship Id="rId118" Type="http://schemas.openxmlformats.org/officeDocument/2006/relationships/hyperlink" Target="https://www.statisticstimes.com/economy/country/hong-kong-gdp.php" TargetMode="External"/><Relationship Id="rId171" Type="http://schemas.openxmlformats.org/officeDocument/2006/relationships/hyperlink" Target="https://www.mandg.co.za/insights/articlesreleases/how-much-investment-risk-can-you-handle/" TargetMode="External"/><Relationship Id="rId227" Type="http://schemas.openxmlformats.org/officeDocument/2006/relationships/hyperlink" Target="http://time.com/5580126/china-swine-fever-pork-industry-spreading/"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224</TotalTime>
  <Pages>78</Pages>
  <Words>24735</Words>
  <Characters>140992</Characters>
  <Application>Microsoft Office Word</Application>
  <DocSecurity>0</DocSecurity>
  <Lines>1174</Lines>
  <Paragraphs>330</Paragraphs>
  <ScaleCrop>false</ScaleCrop>
  <Company/>
  <LinksUpToDate>false</LinksUpToDate>
  <CharactersWithSpaces>165397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Johann Cloete</dc:creator>
  <cp:keywords/>
  <dc:description/>
  <cp:lastModifiedBy>Johann Cloete</cp:lastModifiedBy>
  <cp:revision>3</cp:revision>
  <dcterms:created xsi:type="dcterms:W3CDTF">2021-11-30T08:46:00Z</dcterms:created>
  <dcterms:modified xsi:type="dcterms:W3CDTF">2021-12-01T11:30:00Z</dcterms:modified>
</cp:coreProperties>
</file>