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hd w:val="clear" w:color="auto" w:fill="D9D9D9"/>
        <w:spacing w:before="0" w:after="0" w:line="276" w:lineRule="auto"/>
        <w:jc w:val="center"/>
        <w:rPr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  <w:shd w:val="clear" w:color="auto" w:fill="C0C0C0"/>
        </w:rPr>
        <w:t xml:space="preserve">NOTICE OF </w:t>
      </w:r>
      <w:r>
        <w:rPr>
          <w:rFonts w:ascii="Cambria" w:eastAsia="Cambria" w:hAnsi="Cambria" w:cs="Cambria"/>
          <w:b/>
          <w:bCs/>
          <w:sz w:val="40"/>
          <w:szCs w:val="40"/>
          <w:shd w:val="clear" w:color="auto" w:fill="C0C0C0"/>
        </w:rPr>
        <w:t>BID</w:t>
      </w:r>
      <w:r>
        <w:rPr>
          <w:rFonts w:ascii="Cambria" w:eastAsia="Cambria" w:hAnsi="Cambria" w:cs="Cambria"/>
          <w:b/>
          <w:bCs/>
          <w:sz w:val="40"/>
          <w:szCs w:val="40"/>
          <w:shd w:val="clear" w:color="auto" w:fill="C0C0C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AWARD</w:t>
      </w:r>
    </w:p>
    <w:p>
      <w:pPr>
        <w:spacing w:before="0" w:after="0" w:line="276" w:lineRule="auto"/>
        <w:jc w:val="center"/>
        <w:rPr>
          <w:sz w:val="22"/>
          <w:szCs w:val="22"/>
        </w:rPr>
      </w:pPr>
    </w:p>
    <w:p>
      <w:pPr>
        <w:tabs>
          <w:tab w:val="left" w:pos="1440"/>
        </w:tabs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Bid Number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ETQA/2019/0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ind w:left="1710" w:hanging="17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Bid Description: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APPOINTMENT OF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SKILLS DEVELOPMENT SERVICES PROVIDERS FOR THE INSETA QUALITY ASSURANCE CERTIFICATION CLEAN UP </w:t>
      </w:r>
    </w:p>
    <w:p>
      <w:pPr>
        <w:spacing w:before="0" w:after="0" w:line="276" w:lineRule="auto"/>
        <w:ind w:left="1710" w:hanging="1710"/>
        <w:rPr>
          <w:sz w:val="20"/>
          <w:szCs w:val="20"/>
        </w:rPr>
      </w:pPr>
    </w:p>
    <w:p>
      <w:pPr>
        <w:spacing w:before="0" w:after="0" w:line="276" w:lineRule="auto"/>
        <w:ind w:left="2340" w:hanging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Issued on: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 August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2019</w:t>
      </w:r>
    </w:p>
    <w:p>
      <w:pPr>
        <w:spacing w:before="0" w:after="0" w:line="276" w:lineRule="auto"/>
        <w:ind w:left="2340" w:hanging="2340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Closed </w:t>
      </w:r>
      <w:r>
        <w:rPr>
          <w:rFonts w:ascii="Arial" w:eastAsia="Arial" w:hAnsi="Arial" w:cs="Arial"/>
          <w:b/>
          <w:bCs/>
          <w:sz w:val="20"/>
          <w:szCs w:val="20"/>
        </w:rPr>
        <w:t>on: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3 October </w:t>
      </w:r>
      <w:r>
        <w:rPr>
          <w:rFonts w:ascii="Arial" w:eastAsia="Arial" w:hAnsi="Arial" w:cs="Arial"/>
          <w:sz w:val="20"/>
          <w:szCs w:val="20"/>
        </w:rPr>
        <w:t>2019 @11H00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Applicable Preference Point System: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80/20</w:t>
      </w:r>
    </w:p>
    <w:p>
      <w:pPr>
        <w:spacing w:before="0" w:after="0" w:line="276" w:lineRule="auto"/>
        <w:rPr>
          <w:sz w:val="20"/>
          <w:szCs w:val="20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366"/>
        <w:gridCol w:w="2736"/>
        <w:gridCol w:w="3112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Successful Bidder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Total value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including VAT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Preference Points Claimed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Ascension Business Academy (Pty) Ltd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550,00 per learner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12</w:t>
            </w:r>
          </w:p>
        </w:tc>
      </w:tr>
    </w:tbl>
    <w:p>
      <w:pPr>
        <w:spacing w:before="0" w:after="0" w:line="276" w:lineRule="auto"/>
        <w:ind w:left="720"/>
        <w:rPr>
          <w:sz w:val="20"/>
          <w:szCs w:val="20"/>
        </w:rPr>
      </w:pPr>
    </w:p>
    <w:p>
      <w:pPr>
        <w:spacing w:before="0" w:after="0" w:line="276" w:lineRule="auto"/>
        <w:ind w:left="720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Issued by</w:t>
      </w: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</w:p>
    <w:p>
      <w:pPr>
        <w:spacing w:before="0" w:after="0" w:line="27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Supply Chain Management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Unit</w:t>
      </w:r>
    </w:p>
    <w:p>
      <w:pPr>
        <w:spacing w:before="0" w:after="0" w:line="276" w:lineRule="auto"/>
        <w:jc w:val="both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p>
      <w:pPr>
        <w:spacing w:before="0" w:after="0" w:line="288" w:lineRule="auto"/>
        <w:rPr>
          <w:sz w:val="20"/>
          <w:szCs w:val="20"/>
        </w:rPr>
      </w:pPr>
    </w:p>
    <w:sectPr>
      <w:headerReference w:type="default" r:id="rId4"/>
      <w:type w:val="nextPage"/>
      <w:pgSz w:w="11906" w:h="16838"/>
      <w:pgMar w:top="3686" w:right="1418" w:bottom="1985" w:left="1418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88" w:lineRule="auto"/>
      <w:rPr>
        <w:sz w:val="20"/>
        <w:szCs w:val="20"/>
      </w:rPr>
    </w:pPr>
    <w:r>
      <w:rPr>
        <w:strike w:val="0"/>
        <w:sz w:val="20"/>
        <w:szCs w:val="2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91425" cy="10744200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 </w:t>
    </w:r>
  </w:p>
  <w:p>
    <w:pPr>
      <w:spacing w:before="0" w:after="0" w:line="288" w:lineRule="auto"/>
      <w:rPr>
        <w:sz w:val="20"/>
        <w:szCs w:val="20"/>
      </w:rPr>
    </w:pPr>
  </w:p>
  <w:p>
    <w:pPr>
      <w:spacing w:before="0" w:after="0" w:line="288" w:lineRule="auto"/>
      <w:rPr>
        <w:sz w:val="20"/>
        <w:szCs w:val="20"/>
      </w:rPr>
    </w:pPr>
  </w:p>
  <w:p>
    <w:pPr>
      <w:spacing w:before="0" w:after="0" w:line="288" w:lineRule="auto"/>
      <w:rPr>
        <w:sz w:val="20"/>
        <w:szCs w:val="20"/>
      </w:rPr>
    </w:pPr>
  </w:p>
  <w:p>
    <w:pPr>
      <w:spacing w:before="0" w:after="0" w:line="288" w:lineRule="auto"/>
      <w:rPr>
        <w:sz w:val="20"/>
        <w:szCs w:val="20"/>
      </w:rPr>
    </w:pPr>
  </w:p>
  <w:p>
    <w:pPr>
      <w:spacing w:before="0" w:after="0" w:line="288" w:lineRule="auto"/>
      <w:rPr>
        <w:sz w:val="20"/>
        <w:szCs w:val="20"/>
      </w:rPr>
    </w:pPr>
  </w:p>
  <w:p>
    <w:pPr>
      <w:spacing w:before="0" w:after="0" w:line="288" w:lineRule="auto"/>
      <w:rPr>
        <w:sz w:val="20"/>
        <w:szCs w:val="20"/>
      </w:rPr>
    </w:pPr>
  </w:p>
  <w:p>
    <w:pPr>
      <w:tabs>
        <w:tab w:val="center" w:pos="4153"/>
        <w:tab w:val="right" w:pos="9070"/>
      </w:tabs>
      <w:spacing w:before="0" w:after="0" w:line="288" w:lineRule="auto"/>
      <w:rPr>
        <w:sz w:val="20"/>
        <w:szCs w:val="20"/>
      </w:rPr>
    </w:pPr>
    <w:r>
      <w:rPr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</w:t>
    </w:r>
    <w:r>
      <w:rPr>
        <w:rFonts w:ascii="Arial" w:eastAsia="Arial" w:hAnsi="Arial" w:cs="Arial"/>
        <w:sz w:val="20"/>
        <w:szCs w:val="20"/>
      </w:rPr>
      <w:tab/>
    </w:r>
  </w:p>
  <w:p>
    <w:pPr>
      <w:spacing w:before="0" w:after="0" w:line="288" w:lineRule="auto"/>
      <w:rPr>
        <w:sz w:val="20"/>
        <w:szCs w:val="20"/>
      </w:rPr>
    </w:pPr>
    <w:r>
      <w:rPr>
        <w:strike w:val="0"/>
        <w:sz w:val="20"/>
        <w:szCs w:val="20"/>
        <w:u w:val="none"/>
      </w:rPr>
      <w:drawing>
        <wp:inline>
          <wp:extent cx="5010150" cy="7086600"/>
          <wp:docPr id="100003" name="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010150" cy="708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