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CF" w:rsidRPr="001D2862" w:rsidRDefault="002A5BCD">
      <w:pPr>
        <w:rPr>
          <w:rFonts w:ascii="Times New Roman" w:hAnsi="Times New Roman"/>
          <w:sz w:val="24"/>
          <w:szCs w:val="24"/>
        </w:rPr>
      </w:pPr>
      <w:r>
        <w:rPr>
          <w:noProof/>
          <w:lang w:val="en-ZA" w:eastAsia="en-ZA"/>
        </w:rPr>
        <w:drawing>
          <wp:inline distT="0" distB="0" distL="0" distR="0" wp14:anchorId="4B1F5D92" wp14:editId="0D557F16">
            <wp:extent cx="1874520" cy="708569"/>
            <wp:effectExtent l="0" t="0" r="0" b="0"/>
            <wp:docPr id="1" name="Picture 1" descr="Image result for higher education and train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gher education and training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143" cy="72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noProof/>
          <w:lang w:val="en-ZA" w:eastAsia="en-ZA"/>
        </w:rPr>
        <w:drawing>
          <wp:inline distT="0" distB="0" distL="0" distR="0" wp14:anchorId="23F928B0" wp14:editId="289ABC89">
            <wp:extent cx="1562100" cy="800100"/>
            <wp:effectExtent l="0" t="0" r="0" b="0"/>
            <wp:docPr id="7" name="Picture 2" descr="C:\Users\Mangubewa.s\AppData\Local\Microsoft\Windows\Temporary Internet Files\Content.Outlook\UWL17MFN\nsa logo-06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Mangubewa.s\AppData\Local\Microsoft\Windows\Temporary Internet Files\Content.Outlook\UWL17MFN\nsa logo-06 (5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00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A5BCD" w:rsidRPr="001D2862" w:rsidRDefault="002A5BCD">
      <w:pPr>
        <w:rPr>
          <w:b/>
        </w:rPr>
      </w:pPr>
      <w:r w:rsidRPr="001D2862">
        <w:rPr>
          <w:b/>
        </w:rPr>
        <w:t>CALL FOR NOMINATIONS: NATIONAL SKILLS DEVELOPMENT AWARDS 2019-#NSA2019 Awards</w:t>
      </w:r>
    </w:p>
    <w:p w:rsidR="002A5BCD" w:rsidRDefault="002A5BCD">
      <w:r>
        <w:t xml:space="preserve">The National Skills Authority (NSA) is inviting all relevant organisations and institutions implementing (NSDS) skills development to participate in the </w:t>
      </w:r>
      <w:r w:rsidRPr="001D2862">
        <w:rPr>
          <w:b/>
        </w:rPr>
        <w:t>National Skills Development Awards</w:t>
      </w:r>
      <w:r>
        <w:t>.</w:t>
      </w:r>
    </w:p>
    <w:p w:rsidR="002A5BCD" w:rsidRDefault="002A5BCD">
      <w:r>
        <w:t xml:space="preserve">The prestigious awards ceremony will be held on </w:t>
      </w:r>
      <w:r w:rsidRPr="001D2862">
        <w:rPr>
          <w:b/>
        </w:rPr>
        <w:t>14 March 2019</w:t>
      </w:r>
      <w:r>
        <w:t>.</w:t>
      </w:r>
    </w:p>
    <w:p w:rsidR="002A5BCD" w:rsidRPr="001D2862" w:rsidRDefault="002A5BCD" w:rsidP="001D2862">
      <w:pPr>
        <w:jc w:val="both"/>
        <w:rPr>
          <w:b/>
        </w:rPr>
      </w:pPr>
      <w:r w:rsidRPr="001D2862">
        <w:rPr>
          <w:b/>
        </w:rPr>
        <w:t>The objectives of the awards are:</w:t>
      </w:r>
    </w:p>
    <w:p w:rsidR="002A5BCD" w:rsidRPr="001D2862" w:rsidRDefault="002A5BCD" w:rsidP="001D2862">
      <w:pPr>
        <w:jc w:val="both"/>
        <w:rPr>
          <w:b/>
        </w:rPr>
      </w:pPr>
      <w:r w:rsidRPr="001D2862">
        <w:rPr>
          <w:b/>
        </w:rPr>
        <w:t>To celebrate excellence by recognising best skills development implementers and NSF Funded Projects in various categories.</w:t>
      </w:r>
    </w:p>
    <w:p w:rsidR="002A5BCD" w:rsidRPr="001D2862" w:rsidRDefault="002A5BCD" w:rsidP="001D2862">
      <w:pPr>
        <w:jc w:val="both"/>
        <w:rPr>
          <w:b/>
        </w:rPr>
      </w:pPr>
      <w:r w:rsidRPr="001D2862">
        <w:rPr>
          <w:b/>
        </w:rPr>
        <w:t>To provide extensive and national coverage/ exposure for best skills development practices through print and electronic media.</w:t>
      </w:r>
    </w:p>
    <w:p w:rsidR="003B7917" w:rsidRPr="001D2862" w:rsidRDefault="002A5BCD" w:rsidP="001D2862">
      <w:pPr>
        <w:jc w:val="both"/>
        <w:rPr>
          <w:b/>
        </w:rPr>
      </w:pPr>
      <w:r w:rsidRPr="001D2862">
        <w:rPr>
          <w:b/>
        </w:rPr>
        <w:t>To recognise work placement opportunities created throu</w:t>
      </w:r>
      <w:r w:rsidR="00650383">
        <w:rPr>
          <w:b/>
        </w:rPr>
        <w:t>gh the various learning program</w:t>
      </w:r>
      <w:r w:rsidRPr="001D2862">
        <w:rPr>
          <w:b/>
        </w:rPr>
        <w:t xml:space="preserve">s </w:t>
      </w:r>
      <w:r w:rsidR="00650383" w:rsidRPr="001D2862">
        <w:rPr>
          <w:b/>
        </w:rPr>
        <w:t>i.e.</w:t>
      </w:r>
      <w:r w:rsidRPr="001D2862">
        <w:rPr>
          <w:b/>
        </w:rPr>
        <w:t xml:space="preserve"> artisan development, FET graduate placement, universities graduate placement, learnerships</w:t>
      </w:r>
      <w:r w:rsidR="003B7917" w:rsidRPr="001D2862">
        <w:rPr>
          <w:b/>
        </w:rPr>
        <w:t xml:space="preserve"> and internships.</w:t>
      </w:r>
    </w:p>
    <w:p w:rsidR="003B7917" w:rsidRPr="001D2862" w:rsidRDefault="003B7917" w:rsidP="001D2862">
      <w:pPr>
        <w:jc w:val="both"/>
        <w:rPr>
          <w:b/>
        </w:rPr>
      </w:pPr>
      <w:r w:rsidRPr="001D2862">
        <w:rPr>
          <w:b/>
        </w:rPr>
        <w:t>To encourage maximum use of workplace-based skills development initiatives.</w:t>
      </w:r>
    </w:p>
    <w:p w:rsidR="003B7917" w:rsidRPr="001D2862" w:rsidRDefault="003B7917" w:rsidP="001D2862">
      <w:pPr>
        <w:jc w:val="both"/>
        <w:rPr>
          <w:b/>
        </w:rPr>
      </w:pPr>
      <w:r w:rsidRPr="001D2862">
        <w:rPr>
          <w:b/>
        </w:rPr>
        <w:t>To mobilise business, government, community and providers to ensure the realization of the NSDS III goals.</w:t>
      </w:r>
    </w:p>
    <w:p w:rsidR="003B7917" w:rsidRPr="001D2862" w:rsidRDefault="003B7917">
      <w:pPr>
        <w:rPr>
          <w:b/>
        </w:rPr>
      </w:pPr>
      <w:r w:rsidRPr="001D2862">
        <w:rPr>
          <w:b/>
        </w:rPr>
        <w:t>WHO SHOULD APPLY</w:t>
      </w:r>
    </w:p>
    <w:p w:rsidR="003B7917" w:rsidRDefault="003B7917" w:rsidP="001D2862">
      <w:pPr>
        <w:pStyle w:val="NoSpacing"/>
        <w:numPr>
          <w:ilvl w:val="0"/>
          <w:numId w:val="1"/>
        </w:numPr>
      </w:pPr>
      <w:r>
        <w:t>SETAs</w:t>
      </w:r>
    </w:p>
    <w:p w:rsidR="003B7917" w:rsidRDefault="003B7917" w:rsidP="001D2862">
      <w:pPr>
        <w:pStyle w:val="NoSpacing"/>
        <w:numPr>
          <w:ilvl w:val="0"/>
          <w:numId w:val="1"/>
        </w:numPr>
      </w:pPr>
      <w:r>
        <w:t>National Departments</w:t>
      </w:r>
    </w:p>
    <w:p w:rsidR="003B7917" w:rsidRDefault="003B7917" w:rsidP="001D2862">
      <w:pPr>
        <w:pStyle w:val="NoSpacing"/>
        <w:numPr>
          <w:ilvl w:val="0"/>
          <w:numId w:val="1"/>
        </w:numPr>
      </w:pPr>
      <w:r>
        <w:t>Provincial Departments</w:t>
      </w:r>
    </w:p>
    <w:p w:rsidR="003B7917" w:rsidRDefault="003B7917" w:rsidP="001D2862">
      <w:pPr>
        <w:pStyle w:val="NoSpacing"/>
        <w:numPr>
          <w:ilvl w:val="0"/>
          <w:numId w:val="1"/>
        </w:numPr>
      </w:pPr>
      <w:r>
        <w:t>State Owned Enterprises</w:t>
      </w:r>
    </w:p>
    <w:p w:rsidR="003B7917" w:rsidRDefault="003B7917" w:rsidP="001D2862">
      <w:pPr>
        <w:pStyle w:val="NoSpacing"/>
        <w:numPr>
          <w:ilvl w:val="0"/>
          <w:numId w:val="1"/>
        </w:numPr>
      </w:pPr>
      <w:r>
        <w:t>Municipalities</w:t>
      </w:r>
    </w:p>
    <w:p w:rsidR="003B7917" w:rsidRDefault="003B7917" w:rsidP="001D2862">
      <w:pPr>
        <w:pStyle w:val="NoSpacing"/>
        <w:numPr>
          <w:ilvl w:val="0"/>
          <w:numId w:val="1"/>
        </w:numPr>
      </w:pPr>
      <w:r>
        <w:t>Companies (Large/SMMEs)</w:t>
      </w:r>
    </w:p>
    <w:p w:rsidR="003B7917" w:rsidRDefault="003B7917" w:rsidP="001D2862">
      <w:pPr>
        <w:pStyle w:val="NoSpacing"/>
        <w:numPr>
          <w:ilvl w:val="0"/>
          <w:numId w:val="1"/>
        </w:numPr>
      </w:pPr>
      <w:r>
        <w:t>Large Companies 500-1000 or more employees, medium company 51-500 employees and small company 1-50 employees.</w:t>
      </w:r>
    </w:p>
    <w:p w:rsidR="003B7917" w:rsidRDefault="003B7917" w:rsidP="001D2862">
      <w:pPr>
        <w:pStyle w:val="NoSpacing"/>
        <w:numPr>
          <w:ilvl w:val="0"/>
          <w:numId w:val="1"/>
        </w:numPr>
      </w:pPr>
      <w:r>
        <w:t>CBOs and NGOs</w:t>
      </w:r>
    </w:p>
    <w:p w:rsidR="003B7917" w:rsidRDefault="003B7917" w:rsidP="001D2862">
      <w:pPr>
        <w:pStyle w:val="NoSpacing"/>
        <w:numPr>
          <w:ilvl w:val="0"/>
          <w:numId w:val="1"/>
        </w:numPr>
      </w:pPr>
      <w:r>
        <w:t>Public and Private Education and Training Institutions</w:t>
      </w:r>
    </w:p>
    <w:p w:rsidR="006F4C84" w:rsidRDefault="006F4C84" w:rsidP="001D2862">
      <w:pPr>
        <w:pStyle w:val="NoSpacing"/>
        <w:numPr>
          <w:ilvl w:val="0"/>
          <w:numId w:val="1"/>
        </w:numPr>
      </w:pPr>
      <w:r>
        <w:t>Individuals</w:t>
      </w:r>
    </w:p>
    <w:p w:rsidR="001D2862" w:rsidRDefault="001D2862"/>
    <w:p w:rsidR="003B7917" w:rsidRPr="001D2862" w:rsidRDefault="00650383">
      <w:pPr>
        <w:rPr>
          <w:b/>
        </w:rPr>
      </w:pPr>
      <w:r>
        <w:rPr>
          <w:b/>
        </w:rPr>
        <w:t xml:space="preserve">CATEGORIES FOR THE </w:t>
      </w:r>
      <w:r w:rsidR="003B7917" w:rsidRPr="001D2862">
        <w:rPr>
          <w:b/>
        </w:rPr>
        <w:t xml:space="preserve">AWARDS </w:t>
      </w:r>
      <w:r w:rsidR="006F4C84">
        <w:rPr>
          <w:b/>
        </w:rPr>
        <w:t xml:space="preserve">WILL BE SECTORAL </w:t>
      </w:r>
      <w:r w:rsidR="00943371">
        <w:rPr>
          <w:b/>
        </w:rPr>
        <w:t>AS FOLLOWS</w:t>
      </w:r>
      <w:r w:rsidR="006F4C84">
        <w:rPr>
          <w:b/>
        </w:rPr>
        <w:t>:</w:t>
      </w:r>
    </w:p>
    <w:p w:rsidR="001D2862" w:rsidRDefault="006F4C84" w:rsidP="001D2862">
      <w:pPr>
        <w:pStyle w:val="NoSpacing"/>
        <w:rPr>
          <w:b/>
        </w:rPr>
      </w:pPr>
      <w:r>
        <w:rPr>
          <w:b/>
        </w:rPr>
        <w:t>1.   Agricultural and Sector Education Training Authority (AGRISETA)</w:t>
      </w:r>
    </w:p>
    <w:p w:rsidR="006F4C84" w:rsidRDefault="006F4C84" w:rsidP="001D2862">
      <w:pPr>
        <w:pStyle w:val="NoSpacing"/>
        <w:rPr>
          <w:b/>
        </w:rPr>
      </w:pPr>
      <w:r>
        <w:rPr>
          <w:b/>
        </w:rPr>
        <w:t>2.   Bank Sector Education Training Authority (BANKSETA)</w:t>
      </w:r>
    </w:p>
    <w:p w:rsidR="006F4C84" w:rsidRDefault="006F4C84" w:rsidP="001D2862">
      <w:pPr>
        <w:pStyle w:val="NoSpacing"/>
        <w:rPr>
          <w:b/>
        </w:rPr>
      </w:pPr>
      <w:r>
        <w:rPr>
          <w:b/>
        </w:rPr>
        <w:t>3.   Chemical Industries Sector Education Training Authority (CHIETA)</w:t>
      </w:r>
    </w:p>
    <w:p w:rsidR="006F4C84" w:rsidRDefault="006F4C84" w:rsidP="001D2862">
      <w:pPr>
        <w:pStyle w:val="NoSpacing"/>
        <w:rPr>
          <w:b/>
        </w:rPr>
      </w:pPr>
      <w:r>
        <w:rPr>
          <w:b/>
        </w:rPr>
        <w:t>4.   Construction Sector Education Training Authority (CETA)</w:t>
      </w:r>
    </w:p>
    <w:p w:rsidR="006F4C84" w:rsidRDefault="006F4C84" w:rsidP="001D2862">
      <w:pPr>
        <w:pStyle w:val="NoSpacing"/>
        <w:rPr>
          <w:b/>
        </w:rPr>
      </w:pPr>
      <w:r>
        <w:rPr>
          <w:b/>
        </w:rPr>
        <w:t>5.   Culture Arts Tourism Hospitality and Sports Sector Education Training Authority (CATHSSETA)</w:t>
      </w:r>
    </w:p>
    <w:p w:rsidR="006F4C84" w:rsidRDefault="006F4C84" w:rsidP="001D2862">
      <w:pPr>
        <w:pStyle w:val="NoSpacing"/>
        <w:rPr>
          <w:b/>
        </w:rPr>
      </w:pPr>
      <w:r>
        <w:rPr>
          <w:b/>
        </w:rPr>
        <w:lastRenderedPageBreak/>
        <w:t>6.   Education Training and Development Practices Sector Education Training Authority (ETDPSETA)</w:t>
      </w:r>
    </w:p>
    <w:p w:rsidR="006F4C84" w:rsidRDefault="006F4C84" w:rsidP="001D2862">
      <w:pPr>
        <w:pStyle w:val="NoSpacing"/>
        <w:rPr>
          <w:b/>
        </w:rPr>
      </w:pPr>
      <w:r>
        <w:rPr>
          <w:b/>
        </w:rPr>
        <w:t>7.   Energy and Water Sector Education Training Authority (EWSETA)</w:t>
      </w:r>
    </w:p>
    <w:p w:rsidR="006F4C84" w:rsidRDefault="006F4C84" w:rsidP="001D2862">
      <w:pPr>
        <w:pStyle w:val="NoSpacing"/>
        <w:rPr>
          <w:b/>
        </w:rPr>
      </w:pPr>
      <w:r>
        <w:rPr>
          <w:b/>
        </w:rPr>
        <w:t xml:space="preserve">8.   </w:t>
      </w:r>
      <w:proofErr w:type="spellStart"/>
      <w:r>
        <w:rPr>
          <w:b/>
        </w:rPr>
        <w:t>Fibre</w:t>
      </w:r>
      <w:proofErr w:type="spellEnd"/>
      <w:r>
        <w:rPr>
          <w:b/>
        </w:rPr>
        <w:t xml:space="preserve"> Processing and Manufacturing Sector Education Training Authority (FP&amp;MSETA)</w:t>
      </w:r>
    </w:p>
    <w:p w:rsidR="006F4C84" w:rsidRDefault="006F4C84" w:rsidP="001D2862">
      <w:pPr>
        <w:pStyle w:val="NoSpacing"/>
        <w:rPr>
          <w:b/>
        </w:rPr>
      </w:pPr>
      <w:r>
        <w:rPr>
          <w:b/>
        </w:rPr>
        <w:t>9.   Finance and Accounting Services Sector Education Training Authority (FASSET)</w:t>
      </w:r>
    </w:p>
    <w:p w:rsidR="006F4C84" w:rsidRDefault="006F4C84" w:rsidP="001D2862">
      <w:pPr>
        <w:pStyle w:val="NoSpacing"/>
        <w:rPr>
          <w:b/>
        </w:rPr>
      </w:pPr>
      <w:r>
        <w:rPr>
          <w:b/>
        </w:rPr>
        <w:t>10. Food and Beverages Sector Education Training Authority (FOODBEV)</w:t>
      </w:r>
    </w:p>
    <w:p w:rsidR="006F4C84" w:rsidRDefault="006F4C84" w:rsidP="001D2862">
      <w:pPr>
        <w:pStyle w:val="NoSpacing"/>
        <w:rPr>
          <w:b/>
        </w:rPr>
      </w:pPr>
      <w:r>
        <w:rPr>
          <w:b/>
        </w:rPr>
        <w:t>11. Health and Welfare Sector Education Training Authority (HWSETA)</w:t>
      </w:r>
    </w:p>
    <w:p w:rsidR="006F4C84" w:rsidRDefault="006F4C84" w:rsidP="001D2862">
      <w:pPr>
        <w:pStyle w:val="NoSpacing"/>
        <w:rPr>
          <w:b/>
        </w:rPr>
      </w:pPr>
      <w:r>
        <w:rPr>
          <w:b/>
        </w:rPr>
        <w:t>12. Insurance Sector Education Training Authority (INSETA)</w:t>
      </w:r>
    </w:p>
    <w:p w:rsidR="006F4C84" w:rsidRDefault="006F4C84" w:rsidP="001D2862">
      <w:pPr>
        <w:pStyle w:val="NoSpacing"/>
        <w:rPr>
          <w:b/>
        </w:rPr>
      </w:pPr>
      <w:r>
        <w:rPr>
          <w:b/>
        </w:rPr>
        <w:t>13. Local Government Sector Education Training Authority (LGSETA)</w:t>
      </w:r>
    </w:p>
    <w:p w:rsidR="006F4C84" w:rsidRDefault="006F4C84" w:rsidP="001D2862">
      <w:pPr>
        <w:pStyle w:val="NoSpacing"/>
        <w:rPr>
          <w:b/>
        </w:rPr>
      </w:pPr>
      <w:r>
        <w:rPr>
          <w:b/>
        </w:rPr>
        <w:t>14. Manufacturing and Engineering Related</w:t>
      </w:r>
      <w:r w:rsidRPr="006F4C84">
        <w:rPr>
          <w:b/>
        </w:rPr>
        <w:t xml:space="preserve"> </w:t>
      </w:r>
      <w:r>
        <w:rPr>
          <w:b/>
        </w:rPr>
        <w:t>Sector Education Training Authority (MERSETA)</w:t>
      </w:r>
    </w:p>
    <w:p w:rsidR="006F4C84" w:rsidRDefault="006F4C84" w:rsidP="001D2862">
      <w:pPr>
        <w:pStyle w:val="NoSpacing"/>
        <w:rPr>
          <w:b/>
        </w:rPr>
      </w:pPr>
      <w:r>
        <w:rPr>
          <w:b/>
        </w:rPr>
        <w:t xml:space="preserve">15. Media Information and Communication Technology Sector Education Training Authority </w:t>
      </w:r>
      <w:r w:rsidR="00650383">
        <w:rPr>
          <w:b/>
        </w:rPr>
        <w:t xml:space="preserve">    </w:t>
      </w:r>
    </w:p>
    <w:p w:rsidR="00943371" w:rsidRDefault="00943371" w:rsidP="001D2862">
      <w:pPr>
        <w:pStyle w:val="NoSpacing"/>
        <w:rPr>
          <w:b/>
        </w:rPr>
      </w:pPr>
      <w:r>
        <w:rPr>
          <w:b/>
        </w:rPr>
        <w:t xml:space="preserve">       (MICTSETA)</w:t>
      </w:r>
    </w:p>
    <w:p w:rsidR="006F4C84" w:rsidRDefault="006F4C84" w:rsidP="001D2862">
      <w:pPr>
        <w:pStyle w:val="NoSpacing"/>
        <w:rPr>
          <w:b/>
        </w:rPr>
      </w:pPr>
      <w:r>
        <w:rPr>
          <w:b/>
        </w:rPr>
        <w:t>16. Mining Qualifications Authority (MQA)</w:t>
      </w:r>
    </w:p>
    <w:p w:rsidR="006F4C84" w:rsidRDefault="006F4C84" w:rsidP="001D2862">
      <w:pPr>
        <w:pStyle w:val="NoSpacing"/>
        <w:rPr>
          <w:b/>
        </w:rPr>
      </w:pPr>
      <w:r>
        <w:rPr>
          <w:b/>
        </w:rPr>
        <w:t>17. Public Service Sector Education Training Authority (PSETA)</w:t>
      </w:r>
    </w:p>
    <w:p w:rsidR="006F4C84" w:rsidRDefault="006F4C84" w:rsidP="001D2862">
      <w:pPr>
        <w:pStyle w:val="NoSpacing"/>
        <w:rPr>
          <w:b/>
        </w:rPr>
      </w:pPr>
      <w:r>
        <w:rPr>
          <w:b/>
        </w:rPr>
        <w:t>18. Safety and Security Sector Education Training Authority (SASSETA)</w:t>
      </w:r>
    </w:p>
    <w:p w:rsidR="006F4C84" w:rsidRDefault="006F4C84" w:rsidP="001D2862">
      <w:pPr>
        <w:pStyle w:val="NoSpacing"/>
        <w:rPr>
          <w:b/>
        </w:rPr>
      </w:pPr>
      <w:r>
        <w:rPr>
          <w:b/>
        </w:rPr>
        <w:t>19. Services Sector Education Training Authority (</w:t>
      </w:r>
      <w:proofErr w:type="spellStart"/>
      <w:r>
        <w:rPr>
          <w:b/>
        </w:rPr>
        <w:t>ServicesSETA</w:t>
      </w:r>
      <w:proofErr w:type="spellEnd"/>
      <w:r>
        <w:rPr>
          <w:b/>
        </w:rPr>
        <w:t>)</w:t>
      </w:r>
    </w:p>
    <w:p w:rsidR="006F4C84" w:rsidRDefault="006F4C84" w:rsidP="001D2862">
      <w:pPr>
        <w:pStyle w:val="NoSpacing"/>
        <w:rPr>
          <w:b/>
        </w:rPr>
      </w:pPr>
      <w:r>
        <w:rPr>
          <w:b/>
        </w:rPr>
        <w:t>20. Transport Sector Education Training Authority (TETA)</w:t>
      </w:r>
    </w:p>
    <w:p w:rsidR="006F4C84" w:rsidRDefault="006F4C84" w:rsidP="001D2862">
      <w:pPr>
        <w:pStyle w:val="NoSpacing"/>
        <w:rPr>
          <w:b/>
        </w:rPr>
      </w:pPr>
      <w:r>
        <w:rPr>
          <w:b/>
        </w:rPr>
        <w:t>21. Wholesale and Retail Sector Education Training Authority (W&amp;RSETA)</w:t>
      </w:r>
    </w:p>
    <w:p w:rsidR="006F4C84" w:rsidRDefault="006F4C84" w:rsidP="001D2862">
      <w:pPr>
        <w:pStyle w:val="NoSpacing"/>
        <w:rPr>
          <w:b/>
        </w:rPr>
      </w:pPr>
      <w:r>
        <w:rPr>
          <w:b/>
        </w:rPr>
        <w:t>22. Most Outstanding Skills Development Stakeholder (Gold)</w:t>
      </w:r>
    </w:p>
    <w:p w:rsidR="006F4C84" w:rsidRDefault="006F4C84" w:rsidP="001D2862">
      <w:pPr>
        <w:pStyle w:val="NoSpacing"/>
        <w:rPr>
          <w:b/>
        </w:rPr>
      </w:pPr>
      <w:r>
        <w:rPr>
          <w:b/>
        </w:rPr>
        <w:t>23. Most Outstanding Skills Development Stakeholder (Silver)</w:t>
      </w:r>
    </w:p>
    <w:p w:rsidR="006F4C84" w:rsidRDefault="006F4C84" w:rsidP="001D2862">
      <w:pPr>
        <w:pStyle w:val="NoSpacing"/>
        <w:rPr>
          <w:b/>
        </w:rPr>
      </w:pPr>
      <w:r>
        <w:rPr>
          <w:b/>
        </w:rPr>
        <w:t>24. Most Outstanding Skills Development Stakeholder (Bronze)</w:t>
      </w:r>
    </w:p>
    <w:p w:rsidR="006F4C84" w:rsidRDefault="006F4C84" w:rsidP="001D2862">
      <w:pPr>
        <w:pStyle w:val="NoSpacing"/>
        <w:rPr>
          <w:b/>
        </w:rPr>
      </w:pPr>
      <w:r>
        <w:rPr>
          <w:b/>
        </w:rPr>
        <w:t>25. NSA Chairperson’s award for recognition of most outstanding SETA</w:t>
      </w:r>
    </w:p>
    <w:p w:rsidR="006F4C84" w:rsidRDefault="006F4C84" w:rsidP="001D2862">
      <w:pPr>
        <w:pStyle w:val="NoSpacing"/>
        <w:rPr>
          <w:b/>
        </w:rPr>
      </w:pPr>
      <w:r>
        <w:rPr>
          <w:b/>
        </w:rPr>
        <w:t>26. Minister’s award for recognition of most outstanding individual</w:t>
      </w:r>
    </w:p>
    <w:p w:rsidR="006F4C84" w:rsidRDefault="006F4C84" w:rsidP="001D2862">
      <w:pPr>
        <w:pStyle w:val="NoSpacing"/>
        <w:rPr>
          <w:b/>
        </w:rPr>
      </w:pPr>
    </w:p>
    <w:p w:rsidR="006F4C84" w:rsidRDefault="006F4C84" w:rsidP="001D2862">
      <w:pPr>
        <w:pStyle w:val="NoSpacing"/>
        <w:rPr>
          <w:b/>
        </w:rPr>
      </w:pPr>
    </w:p>
    <w:p w:rsidR="006F4C84" w:rsidRDefault="006F4C84" w:rsidP="001D2862">
      <w:pPr>
        <w:pStyle w:val="NoSpacing"/>
      </w:pPr>
    </w:p>
    <w:p w:rsidR="003B7917" w:rsidRPr="001D2862" w:rsidRDefault="006F4C84">
      <w:pPr>
        <w:rPr>
          <w:b/>
        </w:rPr>
      </w:pPr>
      <w:r>
        <w:rPr>
          <w:b/>
        </w:rPr>
        <w:t>The awards for categories 1 – 2</w:t>
      </w:r>
      <w:r w:rsidR="00943371">
        <w:rPr>
          <w:b/>
        </w:rPr>
        <w:t>2</w:t>
      </w:r>
      <w:r>
        <w:rPr>
          <w:b/>
        </w:rPr>
        <w:t xml:space="preserve"> will be based on 2017/2018 performance in the following learning programs:</w:t>
      </w:r>
    </w:p>
    <w:p w:rsidR="003B7917" w:rsidRDefault="003B7917" w:rsidP="001D2862">
      <w:pPr>
        <w:pStyle w:val="NoSpacing"/>
        <w:numPr>
          <w:ilvl w:val="0"/>
          <w:numId w:val="3"/>
        </w:numPr>
        <w:jc w:val="both"/>
      </w:pPr>
      <w:r>
        <w:t>Best Artisan Development Programme</w:t>
      </w:r>
    </w:p>
    <w:p w:rsidR="003B7917" w:rsidRDefault="003B7917" w:rsidP="001D2862">
      <w:pPr>
        <w:pStyle w:val="NoSpacing"/>
        <w:numPr>
          <w:ilvl w:val="0"/>
          <w:numId w:val="3"/>
        </w:numPr>
        <w:jc w:val="both"/>
      </w:pPr>
      <w:r>
        <w:t>Best TVET Placement Programme</w:t>
      </w:r>
    </w:p>
    <w:p w:rsidR="003B7917" w:rsidRDefault="003B7917" w:rsidP="001D2862">
      <w:pPr>
        <w:pStyle w:val="NoSpacing"/>
        <w:numPr>
          <w:ilvl w:val="0"/>
          <w:numId w:val="3"/>
        </w:numPr>
        <w:jc w:val="both"/>
      </w:pPr>
      <w:r>
        <w:t>BEST AET Programme</w:t>
      </w:r>
    </w:p>
    <w:p w:rsidR="003B7917" w:rsidRDefault="003B7917" w:rsidP="001D2862">
      <w:pPr>
        <w:pStyle w:val="NoSpacing"/>
        <w:numPr>
          <w:ilvl w:val="0"/>
          <w:numId w:val="3"/>
        </w:numPr>
        <w:jc w:val="both"/>
      </w:pPr>
      <w:r>
        <w:t>Best Skills Programme</w:t>
      </w:r>
    </w:p>
    <w:p w:rsidR="00A458A6" w:rsidRDefault="003B7917" w:rsidP="001D2862">
      <w:pPr>
        <w:pStyle w:val="NoSpacing"/>
        <w:numPr>
          <w:ilvl w:val="0"/>
          <w:numId w:val="3"/>
        </w:numPr>
        <w:jc w:val="both"/>
      </w:pPr>
      <w:r>
        <w:t>Best University</w:t>
      </w:r>
    </w:p>
    <w:p w:rsidR="00A458A6" w:rsidRDefault="00A458A6" w:rsidP="001D2862">
      <w:pPr>
        <w:pStyle w:val="NoSpacing"/>
        <w:numPr>
          <w:ilvl w:val="0"/>
          <w:numId w:val="3"/>
        </w:numPr>
        <w:jc w:val="both"/>
      </w:pPr>
      <w:r>
        <w:t>Programme (WIL/WPBL)</w:t>
      </w:r>
    </w:p>
    <w:p w:rsidR="00A458A6" w:rsidRDefault="00A458A6" w:rsidP="001D2862">
      <w:pPr>
        <w:pStyle w:val="NoSpacing"/>
        <w:numPr>
          <w:ilvl w:val="0"/>
          <w:numId w:val="3"/>
        </w:numPr>
        <w:jc w:val="both"/>
      </w:pPr>
      <w:r>
        <w:t>Best Community Project</w:t>
      </w:r>
    </w:p>
    <w:p w:rsidR="00A458A6" w:rsidRDefault="00A458A6" w:rsidP="001D2862">
      <w:pPr>
        <w:pStyle w:val="NoSpacing"/>
        <w:numPr>
          <w:ilvl w:val="0"/>
          <w:numId w:val="3"/>
        </w:numPr>
        <w:jc w:val="both"/>
      </w:pPr>
      <w:r>
        <w:t>Best Public Sector Internship and learnership programmes</w:t>
      </w:r>
    </w:p>
    <w:p w:rsidR="00A458A6" w:rsidRDefault="00A458A6" w:rsidP="001D2862">
      <w:pPr>
        <w:pStyle w:val="NoSpacing"/>
        <w:numPr>
          <w:ilvl w:val="0"/>
          <w:numId w:val="3"/>
        </w:numPr>
        <w:jc w:val="both"/>
      </w:pPr>
      <w:r>
        <w:t xml:space="preserve">Best career </w:t>
      </w:r>
      <w:r w:rsidR="006F4C84">
        <w:t>and vocational guidance program</w:t>
      </w:r>
    </w:p>
    <w:p w:rsidR="006F4C84" w:rsidRDefault="006F4C84" w:rsidP="006F4C84">
      <w:pPr>
        <w:pStyle w:val="NoSpacing"/>
        <w:jc w:val="both"/>
      </w:pPr>
    </w:p>
    <w:p w:rsidR="006F4C84" w:rsidRDefault="006F4C84" w:rsidP="006F4C84">
      <w:pPr>
        <w:pStyle w:val="NoSpacing"/>
        <w:jc w:val="both"/>
        <w:rPr>
          <w:b/>
        </w:rPr>
      </w:pPr>
      <w:r w:rsidRPr="006F4C84">
        <w:rPr>
          <w:b/>
        </w:rPr>
        <w:t>The award for category 2</w:t>
      </w:r>
      <w:r w:rsidR="00943371">
        <w:rPr>
          <w:b/>
        </w:rPr>
        <w:t>3</w:t>
      </w:r>
      <w:r w:rsidRPr="006F4C84">
        <w:rPr>
          <w:b/>
        </w:rPr>
        <w:t xml:space="preserve"> will be based on the following:</w:t>
      </w:r>
    </w:p>
    <w:p w:rsidR="006F4C84" w:rsidRPr="006F4C84" w:rsidRDefault="006F4C84" w:rsidP="006F4C84">
      <w:pPr>
        <w:pStyle w:val="NoSpacing"/>
        <w:jc w:val="both"/>
        <w:rPr>
          <w:b/>
        </w:rPr>
      </w:pPr>
    </w:p>
    <w:p w:rsidR="006F4C84" w:rsidRDefault="006F4C84" w:rsidP="006F4C84">
      <w:pPr>
        <w:pStyle w:val="NoSpacing"/>
        <w:numPr>
          <w:ilvl w:val="0"/>
          <w:numId w:val="4"/>
        </w:numPr>
        <w:jc w:val="both"/>
      </w:pPr>
      <w:r>
        <w:t xml:space="preserve">Performance against targets </w:t>
      </w:r>
    </w:p>
    <w:p w:rsidR="006F4C84" w:rsidRDefault="006F4C84" w:rsidP="006F4C84">
      <w:pPr>
        <w:pStyle w:val="NoSpacing"/>
        <w:numPr>
          <w:ilvl w:val="0"/>
          <w:numId w:val="4"/>
        </w:numPr>
        <w:jc w:val="both"/>
      </w:pPr>
      <w:r>
        <w:t>Governance</w:t>
      </w:r>
    </w:p>
    <w:p w:rsidR="006F4C84" w:rsidRDefault="00650383" w:rsidP="006F4C84">
      <w:pPr>
        <w:pStyle w:val="NoSpacing"/>
        <w:numPr>
          <w:ilvl w:val="0"/>
          <w:numId w:val="4"/>
        </w:numPr>
        <w:jc w:val="both"/>
      </w:pPr>
      <w:r>
        <w:t>Financial</w:t>
      </w:r>
      <w:r w:rsidR="006F4C84">
        <w:t xml:space="preserve"> sustainability</w:t>
      </w:r>
    </w:p>
    <w:p w:rsidR="006F4C84" w:rsidRDefault="006F4C84" w:rsidP="006F4C84">
      <w:pPr>
        <w:pStyle w:val="NoSpacing"/>
        <w:numPr>
          <w:ilvl w:val="0"/>
          <w:numId w:val="4"/>
        </w:numPr>
        <w:jc w:val="both"/>
      </w:pPr>
      <w:r>
        <w:t>Management / Corporate Services</w:t>
      </w:r>
    </w:p>
    <w:p w:rsidR="006F4C84" w:rsidRDefault="006F4C84" w:rsidP="006F4C84">
      <w:pPr>
        <w:pStyle w:val="NoSpacing"/>
        <w:numPr>
          <w:ilvl w:val="0"/>
          <w:numId w:val="4"/>
        </w:numPr>
        <w:jc w:val="both"/>
      </w:pPr>
      <w:r>
        <w:t>Collaboration / Partnerships</w:t>
      </w:r>
    </w:p>
    <w:p w:rsidR="00650383" w:rsidRDefault="00650383" w:rsidP="006F4C84">
      <w:pPr>
        <w:pStyle w:val="NoSpacing"/>
        <w:numPr>
          <w:ilvl w:val="0"/>
          <w:numId w:val="4"/>
        </w:numPr>
        <w:jc w:val="both"/>
      </w:pPr>
      <w:r>
        <w:t>Innovation / Creativity</w:t>
      </w:r>
    </w:p>
    <w:p w:rsidR="006F4C84" w:rsidRDefault="006F4C84" w:rsidP="006F4C84">
      <w:pPr>
        <w:pStyle w:val="NoSpacing"/>
        <w:numPr>
          <w:ilvl w:val="0"/>
          <w:numId w:val="4"/>
        </w:numPr>
        <w:jc w:val="both"/>
      </w:pPr>
      <w:r>
        <w:t>Accessibility of information</w:t>
      </w:r>
    </w:p>
    <w:p w:rsidR="006F4C84" w:rsidRDefault="006F4C84" w:rsidP="006F4C84">
      <w:pPr>
        <w:pStyle w:val="NoSpacing"/>
        <w:jc w:val="both"/>
      </w:pPr>
    </w:p>
    <w:p w:rsidR="003A0653" w:rsidRDefault="003A0653" w:rsidP="006F4C84">
      <w:pPr>
        <w:pStyle w:val="NoSpacing"/>
        <w:jc w:val="both"/>
        <w:rPr>
          <w:b/>
        </w:rPr>
      </w:pPr>
    </w:p>
    <w:p w:rsidR="003A0653" w:rsidRDefault="003A0653" w:rsidP="006F4C84">
      <w:pPr>
        <w:pStyle w:val="NoSpacing"/>
        <w:jc w:val="both"/>
        <w:rPr>
          <w:b/>
        </w:rPr>
      </w:pPr>
    </w:p>
    <w:p w:rsidR="003A0653" w:rsidRDefault="003A0653" w:rsidP="006F4C84">
      <w:pPr>
        <w:pStyle w:val="NoSpacing"/>
        <w:jc w:val="both"/>
        <w:rPr>
          <w:b/>
        </w:rPr>
      </w:pPr>
    </w:p>
    <w:p w:rsidR="006F4C84" w:rsidRPr="006F4C84" w:rsidRDefault="006F4C84" w:rsidP="006F4C84">
      <w:pPr>
        <w:pStyle w:val="NoSpacing"/>
        <w:jc w:val="both"/>
        <w:rPr>
          <w:b/>
        </w:rPr>
      </w:pPr>
      <w:r w:rsidRPr="006F4C84">
        <w:rPr>
          <w:b/>
        </w:rPr>
        <w:lastRenderedPageBreak/>
        <w:t>The award for category 2</w:t>
      </w:r>
      <w:r w:rsidR="00943371">
        <w:rPr>
          <w:b/>
        </w:rPr>
        <w:t>4</w:t>
      </w:r>
      <w:r w:rsidRPr="006F4C84">
        <w:rPr>
          <w:b/>
        </w:rPr>
        <w:t xml:space="preserve"> will be based on the following:</w:t>
      </w:r>
    </w:p>
    <w:p w:rsidR="006F4C84" w:rsidRPr="006F4C84" w:rsidRDefault="006F4C84" w:rsidP="006F4C84">
      <w:pPr>
        <w:pStyle w:val="NoSpacing"/>
        <w:jc w:val="both"/>
        <w:rPr>
          <w:b/>
        </w:rPr>
      </w:pPr>
    </w:p>
    <w:p w:rsidR="006F4C84" w:rsidRDefault="006F4C84" w:rsidP="006F4C84">
      <w:pPr>
        <w:pStyle w:val="NoSpacing"/>
        <w:numPr>
          <w:ilvl w:val="0"/>
          <w:numId w:val="5"/>
        </w:numPr>
        <w:jc w:val="both"/>
      </w:pPr>
      <w:r>
        <w:t xml:space="preserve">Skills development participation </w:t>
      </w:r>
    </w:p>
    <w:p w:rsidR="006F4C84" w:rsidRDefault="006F4C84" w:rsidP="006F4C84">
      <w:pPr>
        <w:pStyle w:val="NoSpacing"/>
        <w:numPr>
          <w:ilvl w:val="0"/>
          <w:numId w:val="5"/>
        </w:numPr>
        <w:jc w:val="both"/>
      </w:pPr>
      <w:r>
        <w:t>Accomplishments</w:t>
      </w:r>
    </w:p>
    <w:p w:rsidR="006F4C84" w:rsidRDefault="006F4C84" w:rsidP="006F4C84">
      <w:pPr>
        <w:pStyle w:val="NoSpacing"/>
        <w:numPr>
          <w:ilvl w:val="0"/>
          <w:numId w:val="5"/>
        </w:numPr>
        <w:jc w:val="both"/>
      </w:pPr>
      <w:r>
        <w:t>Community involvement</w:t>
      </w:r>
    </w:p>
    <w:p w:rsidR="006F4C84" w:rsidRDefault="006F4C84" w:rsidP="006F4C84">
      <w:pPr>
        <w:pStyle w:val="NoSpacing"/>
        <w:numPr>
          <w:ilvl w:val="0"/>
          <w:numId w:val="5"/>
        </w:numPr>
        <w:jc w:val="both"/>
      </w:pPr>
      <w:r>
        <w:t>Leadership</w:t>
      </w:r>
    </w:p>
    <w:p w:rsidR="006F4C84" w:rsidRDefault="006F4C84" w:rsidP="006F4C84">
      <w:pPr>
        <w:pStyle w:val="NoSpacing"/>
        <w:numPr>
          <w:ilvl w:val="0"/>
          <w:numId w:val="5"/>
        </w:numPr>
        <w:jc w:val="both"/>
      </w:pPr>
      <w:r>
        <w:t>Ethics and Integrity</w:t>
      </w:r>
    </w:p>
    <w:p w:rsidR="0020674B" w:rsidRDefault="0020674B" w:rsidP="0020674B">
      <w:pPr>
        <w:pStyle w:val="NoSpacing"/>
        <w:jc w:val="both"/>
      </w:pPr>
    </w:p>
    <w:p w:rsidR="0020674B" w:rsidRDefault="0020674B" w:rsidP="0020674B">
      <w:pPr>
        <w:pStyle w:val="NoSpacing"/>
        <w:jc w:val="both"/>
      </w:pPr>
    </w:p>
    <w:p w:rsidR="0020674B" w:rsidRPr="00650383" w:rsidRDefault="0020674B" w:rsidP="0020674B">
      <w:pPr>
        <w:pStyle w:val="NoSpacing"/>
        <w:jc w:val="both"/>
        <w:rPr>
          <w:b/>
        </w:rPr>
      </w:pPr>
      <w:r w:rsidRPr="00650383">
        <w:rPr>
          <w:b/>
        </w:rPr>
        <w:t xml:space="preserve">The applications for </w:t>
      </w:r>
      <w:r w:rsidR="00650383">
        <w:rPr>
          <w:b/>
        </w:rPr>
        <w:t>categories 1 – 2</w:t>
      </w:r>
      <w:r w:rsidR="004777AF">
        <w:rPr>
          <w:b/>
        </w:rPr>
        <w:t>2</w:t>
      </w:r>
      <w:r w:rsidRPr="00650383">
        <w:rPr>
          <w:b/>
        </w:rPr>
        <w:t xml:space="preserve"> will be measured against the following</w:t>
      </w:r>
      <w:r w:rsidR="00650383" w:rsidRPr="00650383">
        <w:rPr>
          <w:b/>
        </w:rPr>
        <w:t xml:space="preserve"> indicators:</w:t>
      </w:r>
    </w:p>
    <w:p w:rsidR="00650383" w:rsidRDefault="00650383" w:rsidP="0020674B">
      <w:pPr>
        <w:pStyle w:val="NoSpacing"/>
        <w:jc w:val="both"/>
      </w:pPr>
    </w:p>
    <w:p w:rsidR="00650383" w:rsidRDefault="00650383" w:rsidP="00650383">
      <w:pPr>
        <w:pStyle w:val="NoSpacing"/>
        <w:numPr>
          <w:ilvl w:val="0"/>
          <w:numId w:val="6"/>
        </w:numPr>
        <w:jc w:val="both"/>
      </w:pPr>
      <w:r>
        <w:t>Track record of placements and appointments</w:t>
      </w:r>
    </w:p>
    <w:p w:rsidR="00650383" w:rsidRDefault="00650383" w:rsidP="00650383">
      <w:pPr>
        <w:pStyle w:val="NoSpacing"/>
        <w:numPr>
          <w:ilvl w:val="0"/>
          <w:numId w:val="6"/>
        </w:numPr>
        <w:jc w:val="both"/>
      </w:pPr>
      <w:r>
        <w:t>Retention and throughput</w:t>
      </w:r>
    </w:p>
    <w:p w:rsidR="00650383" w:rsidRDefault="00650383" w:rsidP="00650383">
      <w:pPr>
        <w:pStyle w:val="NoSpacing"/>
        <w:numPr>
          <w:ilvl w:val="0"/>
          <w:numId w:val="6"/>
        </w:numPr>
        <w:jc w:val="both"/>
      </w:pPr>
      <w:r>
        <w:t>Number of learners employed</w:t>
      </w:r>
    </w:p>
    <w:p w:rsidR="00650383" w:rsidRDefault="00650383" w:rsidP="00650383">
      <w:pPr>
        <w:pStyle w:val="NoSpacing"/>
        <w:numPr>
          <w:ilvl w:val="0"/>
          <w:numId w:val="6"/>
        </w:numPr>
        <w:jc w:val="both"/>
      </w:pPr>
      <w:r>
        <w:t>Profile of learners</w:t>
      </w:r>
    </w:p>
    <w:p w:rsidR="004777AF" w:rsidRDefault="004777AF" w:rsidP="004777AF">
      <w:pPr>
        <w:pStyle w:val="NoSpacing"/>
        <w:numPr>
          <w:ilvl w:val="0"/>
          <w:numId w:val="6"/>
        </w:numPr>
        <w:jc w:val="both"/>
      </w:pPr>
      <w:r>
        <w:t>Proportionality</w:t>
      </w:r>
    </w:p>
    <w:p w:rsidR="004777AF" w:rsidRDefault="004777AF" w:rsidP="004777AF">
      <w:pPr>
        <w:pStyle w:val="NoSpacing"/>
        <w:jc w:val="both"/>
      </w:pPr>
    </w:p>
    <w:p w:rsidR="004777AF" w:rsidRPr="004777AF" w:rsidRDefault="004777AF" w:rsidP="004777AF">
      <w:pPr>
        <w:pStyle w:val="NoSpacing"/>
        <w:jc w:val="both"/>
        <w:rPr>
          <w:b/>
        </w:rPr>
      </w:pPr>
      <w:r w:rsidRPr="004777AF">
        <w:rPr>
          <w:b/>
        </w:rPr>
        <w:t>The applications for category 23 will be measured against the following indicators:</w:t>
      </w:r>
    </w:p>
    <w:p w:rsidR="004777AF" w:rsidRDefault="00650383" w:rsidP="003F2BEA">
      <w:pPr>
        <w:pStyle w:val="NoSpacing"/>
        <w:numPr>
          <w:ilvl w:val="0"/>
          <w:numId w:val="6"/>
        </w:numPr>
        <w:jc w:val="both"/>
      </w:pPr>
      <w:r>
        <w:t xml:space="preserve">Financial position </w:t>
      </w:r>
    </w:p>
    <w:p w:rsidR="00650383" w:rsidRDefault="00650383" w:rsidP="003F2BEA">
      <w:pPr>
        <w:pStyle w:val="NoSpacing"/>
        <w:numPr>
          <w:ilvl w:val="0"/>
          <w:numId w:val="6"/>
        </w:numPr>
        <w:jc w:val="both"/>
      </w:pPr>
      <w:r>
        <w:t xml:space="preserve">Auditor – General Report </w:t>
      </w:r>
    </w:p>
    <w:p w:rsidR="00650383" w:rsidRDefault="00650383" w:rsidP="00650383">
      <w:pPr>
        <w:pStyle w:val="NoSpacing"/>
        <w:numPr>
          <w:ilvl w:val="0"/>
          <w:numId w:val="6"/>
        </w:numPr>
        <w:jc w:val="both"/>
      </w:pPr>
      <w:r>
        <w:t xml:space="preserve">Good governance and compliance </w:t>
      </w:r>
    </w:p>
    <w:p w:rsidR="00650383" w:rsidRDefault="00650383" w:rsidP="00650383">
      <w:pPr>
        <w:pStyle w:val="NoSpacing"/>
        <w:numPr>
          <w:ilvl w:val="0"/>
          <w:numId w:val="6"/>
        </w:numPr>
        <w:jc w:val="both"/>
      </w:pPr>
      <w:r>
        <w:t xml:space="preserve">Funding received </w:t>
      </w:r>
    </w:p>
    <w:p w:rsidR="00650383" w:rsidRDefault="004777AF" w:rsidP="00650383">
      <w:pPr>
        <w:pStyle w:val="NoSpacing"/>
        <w:numPr>
          <w:ilvl w:val="0"/>
          <w:numId w:val="6"/>
        </w:numPr>
        <w:jc w:val="both"/>
      </w:pPr>
      <w:r>
        <w:t xml:space="preserve">Stakeholder relations </w:t>
      </w:r>
    </w:p>
    <w:p w:rsidR="004777AF" w:rsidRDefault="004777AF" w:rsidP="00650383">
      <w:pPr>
        <w:pStyle w:val="NoSpacing"/>
        <w:numPr>
          <w:ilvl w:val="0"/>
          <w:numId w:val="6"/>
        </w:numPr>
        <w:jc w:val="both"/>
      </w:pPr>
      <w:r>
        <w:t>Employment equity and alignment</w:t>
      </w:r>
    </w:p>
    <w:p w:rsidR="00650383" w:rsidRDefault="00650383" w:rsidP="00650383">
      <w:pPr>
        <w:pStyle w:val="NoSpacing"/>
        <w:jc w:val="both"/>
      </w:pPr>
    </w:p>
    <w:p w:rsidR="00650383" w:rsidRPr="00650383" w:rsidRDefault="00650383" w:rsidP="00650383">
      <w:pPr>
        <w:pStyle w:val="NoSpacing"/>
        <w:jc w:val="both"/>
        <w:rPr>
          <w:b/>
        </w:rPr>
      </w:pPr>
      <w:r w:rsidRPr="00650383">
        <w:rPr>
          <w:b/>
        </w:rPr>
        <w:t>The applications for category 2</w:t>
      </w:r>
      <w:r w:rsidR="00943371">
        <w:rPr>
          <w:b/>
        </w:rPr>
        <w:t>4</w:t>
      </w:r>
      <w:r w:rsidRPr="00650383">
        <w:rPr>
          <w:b/>
        </w:rPr>
        <w:t xml:space="preserve"> will be measured against the following indicator</w:t>
      </w:r>
      <w:r w:rsidR="00234C8A">
        <w:rPr>
          <w:b/>
        </w:rPr>
        <w:t>s</w:t>
      </w:r>
      <w:r w:rsidRPr="00650383">
        <w:rPr>
          <w:b/>
        </w:rPr>
        <w:t>:</w:t>
      </w:r>
    </w:p>
    <w:p w:rsidR="00650383" w:rsidRDefault="00650383" w:rsidP="00650383">
      <w:pPr>
        <w:pStyle w:val="NoSpacing"/>
        <w:jc w:val="both"/>
      </w:pPr>
    </w:p>
    <w:p w:rsidR="004777AF" w:rsidRDefault="004777AF" w:rsidP="004777AF">
      <w:pPr>
        <w:pStyle w:val="NoSpacing"/>
        <w:numPr>
          <w:ilvl w:val="0"/>
          <w:numId w:val="7"/>
        </w:numPr>
        <w:jc w:val="both"/>
      </w:pPr>
      <w:r>
        <w:t>Initiatives (Incidents to be provided)</w:t>
      </w:r>
    </w:p>
    <w:p w:rsidR="004777AF" w:rsidRDefault="004777AF" w:rsidP="004777AF">
      <w:pPr>
        <w:pStyle w:val="NoSpacing"/>
        <w:numPr>
          <w:ilvl w:val="0"/>
          <w:numId w:val="7"/>
        </w:numPr>
        <w:jc w:val="both"/>
      </w:pPr>
      <w:r>
        <w:t>Characteristics (Honesty, Integrity, Openness)</w:t>
      </w:r>
    </w:p>
    <w:p w:rsidR="004777AF" w:rsidRDefault="004777AF" w:rsidP="004777AF">
      <w:pPr>
        <w:pStyle w:val="NoSpacing"/>
        <w:numPr>
          <w:ilvl w:val="0"/>
          <w:numId w:val="7"/>
        </w:numPr>
        <w:jc w:val="both"/>
      </w:pPr>
      <w:r>
        <w:t xml:space="preserve">Overall impact </w:t>
      </w:r>
      <w:r w:rsidR="003A0653">
        <w:t>E.g.</w:t>
      </w:r>
      <w:r>
        <w:t xml:space="preserve"> Increase in community awareness, number of individuals affected.</w:t>
      </w:r>
    </w:p>
    <w:p w:rsidR="004777AF" w:rsidRDefault="004777AF" w:rsidP="004777AF">
      <w:pPr>
        <w:pStyle w:val="NoSpacing"/>
        <w:numPr>
          <w:ilvl w:val="0"/>
          <w:numId w:val="7"/>
        </w:numPr>
        <w:jc w:val="both"/>
      </w:pPr>
      <w:r>
        <w:t>Attestations / Testimonials</w:t>
      </w:r>
    </w:p>
    <w:p w:rsidR="00650383" w:rsidRDefault="004777AF" w:rsidP="004777AF">
      <w:pPr>
        <w:pStyle w:val="NoSpacing"/>
        <w:numPr>
          <w:ilvl w:val="0"/>
          <w:numId w:val="7"/>
        </w:numPr>
        <w:jc w:val="both"/>
      </w:pPr>
      <w:r>
        <w:t>References</w:t>
      </w:r>
    </w:p>
    <w:p w:rsidR="00650383" w:rsidRDefault="00650383" w:rsidP="00650383">
      <w:pPr>
        <w:pStyle w:val="NoSpacing"/>
        <w:ind w:left="720"/>
        <w:jc w:val="both"/>
      </w:pPr>
    </w:p>
    <w:p w:rsidR="001D2862" w:rsidRDefault="001D2862" w:rsidP="001D2862">
      <w:pPr>
        <w:pStyle w:val="NoSpacing"/>
        <w:ind w:left="720"/>
        <w:jc w:val="both"/>
      </w:pPr>
      <w:bookmarkStart w:id="0" w:name="_GoBack"/>
      <w:bookmarkEnd w:id="0"/>
    </w:p>
    <w:p w:rsidR="00A458A6" w:rsidRPr="001D2862" w:rsidRDefault="00A458A6">
      <w:pPr>
        <w:rPr>
          <w:b/>
        </w:rPr>
      </w:pPr>
      <w:r w:rsidRPr="001D2862">
        <w:rPr>
          <w:b/>
        </w:rPr>
        <w:t>APPLICATION PROCESS</w:t>
      </w:r>
    </w:p>
    <w:p w:rsidR="00A458A6" w:rsidRPr="001D2862" w:rsidRDefault="00A458A6" w:rsidP="001D2862">
      <w:pPr>
        <w:pStyle w:val="NoSpacing"/>
        <w:rPr>
          <w:b/>
        </w:rPr>
      </w:pPr>
      <w:r w:rsidRPr="001D2862">
        <w:rPr>
          <w:b/>
        </w:rPr>
        <w:t>More information on the criteria for the awards</w:t>
      </w:r>
      <w:r w:rsidR="00943371">
        <w:rPr>
          <w:b/>
        </w:rPr>
        <w:t>, contact details for various SETAs</w:t>
      </w:r>
      <w:r w:rsidRPr="001D2862">
        <w:rPr>
          <w:b/>
        </w:rPr>
        <w:t xml:space="preserve"> and application forms will be accessible at all SETAs or can be downloaded from the website: </w:t>
      </w:r>
      <w:hyperlink r:id="rId7" w:history="1">
        <w:r w:rsidRPr="001D2862">
          <w:rPr>
            <w:rStyle w:val="Hyperlink"/>
            <w:b/>
          </w:rPr>
          <w:t>www.nationalskillsauthority.org.za</w:t>
        </w:r>
      </w:hyperlink>
      <w:r w:rsidRPr="001D2862">
        <w:rPr>
          <w:b/>
        </w:rPr>
        <w:t>.</w:t>
      </w:r>
    </w:p>
    <w:p w:rsidR="00A458A6" w:rsidRPr="001D2862" w:rsidRDefault="00A458A6" w:rsidP="001D2862">
      <w:pPr>
        <w:pStyle w:val="NoSpacing"/>
        <w:rPr>
          <w:b/>
        </w:rPr>
      </w:pPr>
      <w:r w:rsidRPr="001D2862">
        <w:rPr>
          <w:b/>
        </w:rPr>
        <w:t xml:space="preserve">Applications </w:t>
      </w:r>
      <w:r w:rsidR="00943371">
        <w:rPr>
          <w:b/>
        </w:rPr>
        <w:t xml:space="preserve">for categories 1 – 22 </w:t>
      </w:r>
      <w:r w:rsidRPr="001D2862">
        <w:rPr>
          <w:b/>
        </w:rPr>
        <w:t>must be submitted</w:t>
      </w:r>
      <w:r w:rsidR="00943371">
        <w:rPr>
          <w:b/>
        </w:rPr>
        <w:t xml:space="preserve"> to the SETA in the relevant sector and applications for categories 23 and 24 </w:t>
      </w:r>
      <w:r w:rsidRPr="001D2862">
        <w:rPr>
          <w:b/>
        </w:rPr>
        <w:t xml:space="preserve">forwarded to the National Skills Authority at </w:t>
      </w:r>
      <w:hyperlink r:id="rId8" w:history="1">
        <w:r w:rsidRPr="001D2862">
          <w:rPr>
            <w:rStyle w:val="Hyperlink"/>
            <w:b/>
          </w:rPr>
          <w:t>skillsawards@nationalskillsauthority.org.za</w:t>
        </w:r>
      </w:hyperlink>
    </w:p>
    <w:p w:rsidR="00A458A6" w:rsidRPr="001D2862" w:rsidRDefault="00A458A6" w:rsidP="001D2862">
      <w:pPr>
        <w:pStyle w:val="NoSpacing"/>
        <w:rPr>
          <w:b/>
        </w:rPr>
      </w:pPr>
      <w:r w:rsidRPr="001D2862">
        <w:rPr>
          <w:b/>
        </w:rPr>
        <w:t xml:space="preserve">The closing date for applications is </w:t>
      </w:r>
      <w:r w:rsidR="009E3462">
        <w:rPr>
          <w:b/>
          <w:color w:val="FF0000"/>
        </w:rPr>
        <w:t>23</w:t>
      </w:r>
      <w:r w:rsidRPr="00240C38">
        <w:rPr>
          <w:b/>
          <w:color w:val="FF0000"/>
        </w:rPr>
        <w:t xml:space="preserve"> January 2019</w:t>
      </w:r>
    </w:p>
    <w:p w:rsidR="001D2862" w:rsidRDefault="001D2862"/>
    <w:p w:rsidR="003A0653" w:rsidRDefault="003A0653">
      <w:pPr>
        <w:rPr>
          <w:b/>
        </w:rPr>
      </w:pPr>
    </w:p>
    <w:p w:rsidR="003A0653" w:rsidRDefault="003A0653">
      <w:pPr>
        <w:rPr>
          <w:b/>
        </w:rPr>
      </w:pPr>
    </w:p>
    <w:p w:rsidR="003A0653" w:rsidRDefault="003A0653">
      <w:pPr>
        <w:rPr>
          <w:b/>
        </w:rPr>
      </w:pPr>
    </w:p>
    <w:p w:rsidR="00A458A6" w:rsidRDefault="00A458A6">
      <w:pPr>
        <w:rPr>
          <w:b/>
        </w:rPr>
      </w:pPr>
      <w:r w:rsidRPr="001D2862">
        <w:rPr>
          <w:b/>
        </w:rPr>
        <w:lastRenderedPageBreak/>
        <w:t>Enquiries:</w:t>
      </w:r>
    </w:p>
    <w:p w:rsidR="00943371" w:rsidRPr="001D2862" w:rsidRDefault="00943371" w:rsidP="00943371">
      <w:pPr>
        <w:spacing w:after="0"/>
        <w:rPr>
          <w:b/>
        </w:rPr>
      </w:pPr>
      <w:r>
        <w:rPr>
          <w:b/>
        </w:rPr>
        <w:t>Contact person: Candice Perumalsami</w:t>
      </w:r>
    </w:p>
    <w:p w:rsidR="00A458A6" w:rsidRPr="001D2862" w:rsidRDefault="00A458A6" w:rsidP="00943371">
      <w:pPr>
        <w:pStyle w:val="NoSpacing"/>
        <w:rPr>
          <w:b/>
        </w:rPr>
      </w:pPr>
      <w:r w:rsidRPr="001D2862">
        <w:t>Contact Number</w:t>
      </w:r>
      <w:r w:rsidRPr="001D2862">
        <w:rPr>
          <w:b/>
        </w:rPr>
        <w:t>: 012 312 5420</w:t>
      </w:r>
      <w:r w:rsidR="00943371">
        <w:rPr>
          <w:b/>
        </w:rPr>
        <w:t xml:space="preserve"> / 012 312 5329</w:t>
      </w:r>
    </w:p>
    <w:p w:rsidR="00A458A6" w:rsidRPr="001D2862" w:rsidRDefault="00A458A6" w:rsidP="001D2862">
      <w:pPr>
        <w:pStyle w:val="NoSpacing"/>
        <w:rPr>
          <w:b/>
        </w:rPr>
      </w:pPr>
      <w:r w:rsidRPr="001D2862">
        <w:t>Email</w:t>
      </w:r>
      <w:r w:rsidRPr="001D2862">
        <w:rPr>
          <w:b/>
        </w:rPr>
        <w:t xml:space="preserve">: </w:t>
      </w:r>
      <w:hyperlink r:id="rId9" w:history="1">
        <w:r w:rsidRPr="001D2862">
          <w:rPr>
            <w:rStyle w:val="Hyperlink"/>
            <w:b/>
          </w:rPr>
          <w:t>skillsawards@nationalskillsauthority.or.za</w:t>
        </w:r>
      </w:hyperlink>
    </w:p>
    <w:p w:rsidR="00A458A6" w:rsidRPr="001D2862" w:rsidRDefault="00A458A6" w:rsidP="001D2862">
      <w:pPr>
        <w:pStyle w:val="NoSpacing"/>
        <w:rPr>
          <w:b/>
        </w:rPr>
      </w:pPr>
      <w:r w:rsidRPr="001D2862">
        <w:t>Twitter</w:t>
      </w:r>
      <w:r w:rsidRPr="001D2862">
        <w:rPr>
          <w:b/>
        </w:rPr>
        <w:t>: https//mobile.twitter.com/</w:t>
      </w:r>
      <w:proofErr w:type="spellStart"/>
      <w:r w:rsidRPr="001D2862">
        <w:rPr>
          <w:b/>
        </w:rPr>
        <w:t>SkillsAuthority</w:t>
      </w:r>
      <w:proofErr w:type="spellEnd"/>
    </w:p>
    <w:p w:rsidR="00A458A6" w:rsidRPr="001D2862" w:rsidRDefault="00A458A6" w:rsidP="001D2862">
      <w:pPr>
        <w:pStyle w:val="NoSpacing"/>
        <w:rPr>
          <w:b/>
        </w:rPr>
      </w:pPr>
      <w:proofErr w:type="spellStart"/>
      <w:r w:rsidRPr="001D2862">
        <w:t>Instagram</w:t>
      </w:r>
      <w:proofErr w:type="spellEnd"/>
      <w:r w:rsidRPr="001D2862">
        <w:rPr>
          <w:b/>
        </w:rPr>
        <w:t>: https//www.instagram.com/nsa_za</w:t>
      </w:r>
    </w:p>
    <w:p w:rsidR="001D2862" w:rsidRDefault="001D2862" w:rsidP="001D2862">
      <w:pPr>
        <w:pStyle w:val="NoSpacing"/>
        <w:rPr>
          <w:b/>
        </w:rPr>
      </w:pPr>
      <w:r w:rsidRPr="001D2862">
        <w:t>Facebook</w:t>
      </w:r>
      <w:r w:rsidRPr="001D2862">
        <w:rPr>
          <w:b/>
        </w:rPr>
        <w:t>: https//www.facebook.com/nationalskillsauthori</w:t>
      </w:r>
      <w:r w:rsidR="005C27E1">
        <w:rPr>
          <w:b/>
        </w:rPr>
        <w:t>t</w:t>
      </w:r>
      <w:r w:rsidRPr="001D2862">
        <w:rPr>
          <w:b/>
        </w:rPr>
        <w:t>y</w:t>
      </w:r>
    </w:p>
    <w:p w:rsidR="001D2862" w:rsidRPr="001D2862" w:rsidRDefault="001D2862" w:rsidP="001D2862">
      <w:pPr>
        <w:pStyle w:val="NoSpacing"/>
        <w:rPr>
          <w:b/>
        </w:rPr>
      </w:pPr>
    </w:p>
    <w:p w:rsidR="002A5BCD" w:rsidRPr="00650383" w:rsidRDefault="001D2862" w:rsidP="00650383">
      <w:pPr>
        <w:jc w:val="both"/>
        <w:rPr>
          <w:rFonts w:ascii="Times New Roman" w:hAnsi="Times New Roman"/>
          <w:sz w:val="24"/>
          <w:szCs w:val="24"/>
        </w:rPr>
      </w:pPr>
      <w:r w:rsidRPr="00E00B41">
        <w:rPr>
          <w:rFonts w:ascii="Times New Roman" w:hAnsi="Times New Roman"/>
          <w:sz w:val="24"/>
          <w:szCs w:val="24"/>
        </w:rPr>
        <w:t>The NSA is a statutory advisory body established in 1999 in terms of Chapter 2 of the</w:t>
      </w:r>
      <w:r w:rsidR="00045E8D">
        <w:rPr>
          <w:rFonts w:ascii="Times New Roman" w:hAnsi="Times New Roman"/>
          <w:sz w:val="24"/>
          <w:szCs w:val="24"/>
        </w:rPr>
        <w:t xml:space="preserve"> Skills Development Act (SDA)</w:t>
      </w:r>
      <w:r w:rsidRPr="00E00B41">
        <w:rPr>
          <w:rFonts w:ascii="Times New Roman" w:hAnsi="Times New Roman"/>
          <w:sz w:val="24"/>
          <w:szCs w:val="24"/>
        </w:rPr>
        <w:t xml:space="preserve"> 97 of 1998. The primary functions of the NSA are to advise the Minister of Higher Education and Training on matters of skills development in accordance with section 5 of the Skills Development Act. </w:t>
      </w:r>
      <w:r w:rsidR="002A5BCD">
        <w:t xml:space="preserve"> </w:t>
      </w:r>
    </w:p>
    <w:sectPr w:rsidR="002A5BCD" w:rsidRPr="00650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872BA"/>
    <w:multiLevelType w:val="hybridMultilevel"/>
    <w:tmpl w:val="199E39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11D59"/>
    <w:multiLevelType w:val="hybridMultilevel"/>
    <w:tmpl w:val="1E448B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C2898"/>
    <w:multiLevelType w:val="hybridMultilevel"/>
    <w:tmpl w:val="2640C6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F7F95"/>
    <w:multiLevelType w:val="hybridMultilevel"/>
    <w:tmpl w:val="B5949E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C290F"/>
    <w:multiLevelType w:val="hybridMultilevel"/>
    <w:tmpl w:val="C324BF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26A5D"/>
    <w:multiLevelType w:val="hybridMultilevel"/>
    <w:tmpl w:val="80941E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C77E1"/>
    <w:multiLevelType w:val="hybridMultilevel"/>
    <w:tmpl w:val="863406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CD"/>
    <w:rsid w:val="00045E8D"/>
    <w:rsid w:val="001D2862"/>
    <w:rsid w:val="0020674B"/>
    <w:rsid w:val="00234C8A"/>
    <w:rsid w:val="00240C38"/>
    <w:rsid w:val="002A5BCD"/>
    <w:rsid w:val="003A0653"/>
    <w:rsid w:val="003B7917"/>
    <w:rsid w:val="004777AF"/>
    <w:rsid w:val="005C27E1"/>
    <w:rsid w:val="00650383"/>
    <w:rsid w:val="006526CF"/>
    <w:rsid w:val="006F4C84"/>
    <w:rsid w:val="00943371"/>
    <w:rsid w:val="009E3462"/>
    <w:rsid w:val="00A458A6"/>
    <w:rsid w:val="00B25FEE"/>
    <w:rsid w:val="00CD25BE"/>
    <w:rsid w:val="00F413B7"/>
    <w:rsid w:val="00F5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01A3B84-EF4A-414A-AB63-5D080516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BC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8A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D286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llsawards@nationalskillsauthority.org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ionalskillsauthority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killsawards@nationalskillsauthority.or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Mashau.F</dc:creator>
  <cp:keywords/>
  <dc:description/>
  <cp:lastModifiedBy>Perumalsami, Candice</cp:lastModifiedBy>
  <cp:revision>10</cp:revision>
  <dcterms:created xsi:type="dcterms:W3CDTF">2018-12-05T14:14:00Z</dcterms:created>
  <dcterms:modified xsi:type="dcterms:W3CDTF">2018-12-14T09:06:00Z</dcterms:modified>
</cp:coreProperties>
</file>