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REQUEST FOR QUOTATION (RFQ) </w:t>
      </w:r>
    </w:p>
    <w:p>
      <w:pPr>
        <w:spacing w:before="0" w:after="0" w:line="288" w:lineRule="auto"/>
        <w:jc w:val="center"/>
        <w:rPr>
          <w:sz w:val="20"/>
          <w:szCs w:val="20"/>
        </w:rPr>
      </w:pPr>
    </w:p>
    <w:p>
      <w:pPr>
        <w:spacing w:before="0" w:after="0" w:line="28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TRAINING FOR SUPPLY CHAIN PRACTITIONERS BID COMMITTEE MEMBERS</w:t>
      </w:r>
    </w:p>
    <w:p>
      <w:pPr>
        <w:spacing w:before="0" w:after="0" w:line="288" w:lineRule="auto"/>
        <w:jc w:val="both"/>
        <w:rPr>
          <w:sz w:val="20"/>
          <w:szCs w:val="20"/>
        </w:rPr>
      </w:pPr>
    </w:p>
    <w:tbl>
      <w:tblPr>
        <w:tblW w:w="1017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576"/>
        <w:gridCol w:w="2727"/>
        <w:gridCol w:w="1857"/>
        <w:gridCol w:w="536"/>
        <w:gridCol w:w="2852"/>
      </w:tblGrid>
      <w:tr>
        <w:tblPrEx>
          <w:tblW w:w="10171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/>
        </w:trPr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6" w:type="dxa"/>
            <w:gridSpan w:val="4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TRAINING FOR SUPPLY CHAIN PRACTITIONERS AND BID COMMITTEE MEMBERS</w:t>
            </w:r>
          </w:p>
        </w:tc>
      </w:tr>
      <w:tr>
        <w:tblPrEx>
          <w:tblW w:w="10171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RFQ issue date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05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October 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RFQ closing date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October 2020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at 11h00</w:t>
            </w:r>
          </w:p>
        </w:tc>
      </w:tr>
      <w:tr>
        <w:tblPrEx>
          <w:tblW w:w="10171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RFQ number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RFQ/20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20/21/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Enquiries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Lindiwe Duma</w:t>
            </w:r>
          </w:p>
        </w:tc>
      </w:tr>
      <w:tr>
        <w:tblPrEx>
          <w:tblW w:w="10171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1705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rfqs@inseta.org.za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Lead Time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Three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session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raining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must be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conducted within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three (2) weeks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after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appointment.</w:t>
            </w:r>
          </w:p>
        </w:tc>
      </w:tr>
    </w:tbl>
    <w:p>
      <w:pPr>
        <w:spacing w:before="0" w:after="0" w:line="288" w:lineRule="auto"/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pBdr>
          <w:left w:val="none" w:sz="0" w:space="7" w:color="auto"/>
        </w:pBdr>
        <w:spacing w:before="0" w:after="0" w:line="276" w:lineRule="auto"/>
        <w:ind w:left="426" w:right="0" w:hanging="409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PURPOSE:</w:t>
      </w:r>
    </w:p>
    <w:p>
      <w:pPr>
        <w:spacing w:before="0" w:after="0" w:line="276" w:lineRule="auto"/>
        <w:ind w:left="426"/>
        <w:rPr>
          <w:sz w:val="20"/>
          <w:szCs w:val="20"/>
        </w:rPr>
      </w:pPr>
    </w:p>
    <w:p>
      <w:pPr>
        <w:spacing w:before="0" w:after="0" w:line="288" w:lineRule="auto"/>
        <w:ind w:left="360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Insurance Sector Education and Training Authority (INSETA) seeks to appoint a</w:t>
      </w:r>
      <w:r>
        <w:rPr>
          <w:rFonts w:ascii="Arial" w:eastAsia="Arial" w:hAnsi="Arial" w:cs="Arial"/>
          <w:sz w:val="20"/>
          <w:szCs w:val="20"/>
        </w:rPr>
        <w:t xml:space="preserve"> qualified and experience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training </w:t>
      </w:r>
      <w:r>
        <w:rPr>
          <w:rFonts w:ascii="Arial" w:eastAsia="Arial" w:hAnsi="Arial" w:cs="Arial"/>
          <w:sz w:val="20"/>
          <w:szCs w:val="20"/>
        </w:rPr>
        <w:t xml:space="preserve">provider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 xml:space="preserve">offer </w:t>
      </w:r>
      <w:r>
        <w:rPr>
          <w:rFonts w:ascii="Arial" w:eastAsia="Arial" w:hAnsi="Arial" w:cs="Arial"/>
          <w:sz w:val="20"/>
          <w:szCs w:val="20"/>
        </w:rPr>
        <w:t xml:space="preserve">online </w:t>
      </w:r>
      <w:r>
        <w:rPr>
          <w:rFonts w:ascii="Arial" w:eastAsia="Arial" w:hAnsi="Arial" w:cs="Arial"/>
          <w:sz w:val="20"/>
          <w:szCs w:val="20"/>
        </w:rPr>
        <w:t>advance Supply Chain Management (SCM) training to bid committee members</w:t>
      </w:r>
      <w:r>
        <w:rPr>
          <w:rFonts w:ascii="Arial" w:eastAsia="Arial" w:hAnsi="Arial" w:cs="Arial"/>
          <w:sz w:val="20"/>
          <w:szCs w:val="20"/>
        </w:rPr>
        <w:t xml:space="preserve"> and supply chain management practitioners</w:t>
      </w:r>
      <w:r>
        <w:rPr>
          <w:rFonts w:ascii="Arial" w:eastAsia="Arial" w:hAnsi="Arial" w:cs="Arial"/>
          <w:sz w:val="20"/>
          <w:szCs w:val="20"/>
        </w:rPr>
        <w:t xml:space="preserve"> as</w:t>
      </w:r>
      <w:r>
        <w:rPr>
          <w:rFonts w:ascii="Arial" w:eastAsia="Arial" w:hAnsi="Arial" w:cs="Arial"/>
          <w:sz w:val="20"/>
          <w:szCs w:val="20"/>
        </w:rPr>
        <w:t xml:space="preserve"> per the detailed</w:t>
      </w:r>
      <w:r>
        <w:rPr>
          <w:rFonts w:ascii="Arial" w:eastAsia="Arial" w:hAnsi="Arial" w:cs="Arial"/>
          <w:sz w:val="20"/>
          <w:szCs w:val="20"/>
        </w:rPr>
        <w:t xml:space="preserve"> in the scope of work.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minimum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thirty</w:t>
      </w:r>
      <w:r>
        <w:rPr>
          <w:rFonts w:ascii="Arial" w:eastAsia="Arial" w:hAnsi="Arial" w:cs="Arial"/>
          <w:sz w:val="20"/>
          <w:szCs w:val="20"/>
        </w:rPr>
        <w:t>-six (36)</w:t>
      </w:r>
      <w:r>
        <w:rPr>
          <w:rFonts w:ascii="Arial" w:eastAsia="Arial" w:hAnsi="Arial" w:cs="Arial"/>
          <w:sz w:val="20"/>
          <w:szCs w:val="20"/>
        </w:rPr>
        <w:t xml:space="preserve"> officials to be trained</w:t>
      </w:r>
      <w:r>
        <w:rPr>
          <w:rFonts w:ascii="Arial" w:eastAsia="Arial" w:hAnsi="Arial" w:cs="Arial"/>
          <w:sz w:val="20"/>
          <w:szCs w:val="20"/>
        </w:rPr>
        <w:t>.</w:t>
      </w:r>
    </w:p>
    <w:p>
      <w:pPr>
        <w:spacing w:before="0" w:after="0" w:line="276" w:lineRule="auto"/>
        <w:ind w:left="426"/>
        <w:jc w:val="both"/>
        <w:rPr>
          <w:sz w:val="20"/>
          <w:szCs w:val="20"/>
        </w:rPr>
      </w:pPr>
    </w:p>
    <w:p>
      <w:pPr>
        <w:numPr>
          <w:ilvl w:val="0"/>
          <w:numId w:val="2"/>
        </w:numPr>
        <w:pBdr>
          <w:left w:val="none" w:sz="0" w:space="7" w:color="auto"/>
        </w:pBdr>
        <w:spacing w:before="0" w:after="0" w:line="276" w:lineRule="auto"/>
        <w:ind w:left="426" w:right="0" w:hanging="409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SCOPE OF WORK: </w:t>
      </w:r>
    </w:p>
    <w:p>
      <w:pPr>
        <w:spacing w:before="0" w:after="0" w:line="276" w:lineRule="auto"/>
        <w:ind w:left="426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z w:val="20"/>
          <w:szCs w:val="20"/>
        </w:rPr>
        <w:t xml:space="preserve"> must be </w:t>
      </w:r>
      <w:r>
        <w:rPr>
          <w:rFonts w:ascii="Arial" w:eastAsia="Arial" w:hAnsi="Arial" w:cs="Arial"/>
          <w:sz w:val="20"/>
          <w:szCs w:val="20"/>
        </w:rPr>
        <w:t xml:space="preserve">accredited with a relevant professional body. The certificate of attendance will </w:t>
      </w:r>
    </w:p>
    <w:p>
      <w:pPr>
        <w:spacing w:before="0" w:after="0" w:line="276" w:lineRule="auto"/>
        <w:ind w:left="45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suffice at the end of training.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The appointed </w:t>
      </w:r>
      <w:r>
        <w:rPr>
          <w:rFonts w:ascii="Arial" w:eastAsia="Arial" w:hAnsi="Arial" w:cs="Arial"/>
          <w:sz w:val="20"/>
          <w:szCs w:val="20"/>
        </w:rPr>
        <w:t xml:space="preserve">training provider </w:t>
      </w:r>
      <w:r>
        <w:rPr>
          <w:rFonts w:ascii="Arial" w:eastAsia="Arial" w:hAnsi="Arial" w:cs="Arial"/>
          <w:sz w:val="20"/>
          <w:szCs w:val="20"/>
        </w:rPr>
        <w:t>will be required to provide an advance SCM training to bid committee members</w:t>
      </w:r>
      <w:r>
        <w:rPr>
          <w:rFonts w:ascii="Arial" w:eastAsia="Arial" w:hAnsi="Arial" w:cs="Arial"/>
          <w:sz w:val="20"/>
          <w:szCs w:val="20"/>
        </w:rPr>
        <w:t xml:space="preserve"> and SCM practitioners</w:t>
      </w:r>
      <w:r>
        <w:rPr>
          <w:rFonts w:ascii="Arial" w:eastAsia="Arial" w:hAnsi="Arial" w:cs="Arial"/>
          <w:sz w:val="20"/>
          <w:szCs w:val="20"/>
        </w:rPr>
        <w:t xml:space="preserve">, </w:t>
      </w:r>
    </w:p>
    <w:p>
      <w:pPr>
        <w:spacing w:before="0" w:after="0" w:line="276" w:lineRule="auto"/>
        <w:ind w:firstLine="45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focusing on </w:t>
      </w:r>
      <w:r>
        <w:rPr>
          <w:rFonts w:ascii="Arial" w:eastAsia="Arial" w:hAnsi="Arial" w:cs="Arial"/>
          <w:sz w:val="20"/>
          <w:szCs w:val="20"/>
        </w:rPr>
        <w:t>the following but not limited to: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Duties and responsibilities for Bid committee members 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Section 217 of the Constitution of South Africa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Public Finance Management Act, 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(iv)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Treasury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egulations</w:t>
      </w:r>
      <w:r>
        <w:rPr>
          <w:rFonts w:ascii="Arial" w:eastAsia="Arial" w:hAnsi="Arial" w:cs="Arial"/>
          <w:sz w:val="20"/>
          <w:szCs w:val="20"/>
        </w:rPr>
        <w:t xml:space="preserve"> (with its instruction notes, Practice Notes and Circulars), 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Preferential Procurement Policy Framework Act </w:t>
      </w:r>
      <w:r>
        <w:rPr>
          <w:rFonts w:ascii="Arial" w:eastAsia="Arial" w:hAnsi="Arial" w:cs="Arial"/>
          <w:sz w:val="20"/>
          <w:szCs w:val="20"/>
        </w:rPr>
        <w:t>(with its regulations)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Broad-Based Black Economic Empowerment Act 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National Treasury </w:t>
      </w:r>
      <w:r>
        <w:rPr>
          <w:rFonts w:ascii="Arial" w:eastAsia="Arial" w:hAnsi="Arial" w:cs="Arial"/>
          <w:sz w:val="20"/>
          <w:szCs w:val="20"/>
        </w:rPr>
        <w:t>contract management framework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 w:line="288" w:lineRule="auto"/>
        <w:ind w:left="814"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(viii)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z w:val="20"/>
          <w:szCs w:val="20"/>
        </w:rPr>
        <w:t>SITA Act</w:t>
      </w:r>
    </w:p>
    <w:p>
      <w:pPr>
        <w:spacing w:before="0" w:after="0" w:line="288" w:lineRule="auto"/>
        <w:ind w:left="1174" w:hanging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(x)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Promotion of Administrative Justice Act (PAJA)</w:t>
      </w:r>
    </w:p>
    <w:p>
      <w:pPr>
        <w:spacing w:before="0" w:after="0" w:line="288" w:lineRule="auto"/>
        <w:ind w:left="1174" w:hanging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(xi)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Protection of Personal Information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PPIA) </w:t>
      </w:r>
      <w:r>
        <w:rPr>
          <w:rFonts w:ascii="Arial" w:eastAsia="Arial" w:hAnsi="Arial" w:cs="Arial"/>
          <w:sz w:val="20"/>
          <w:szCs w:val="20"/>
        </w:rPr>
        <w:t xml:space="preserve">and other relevant legislation applicable to </w:t>
      </w:r>
    </w:p>
    <w:p>
      <w:pPr>
        <w:spacing w:before="0" w:after="0" w:line="288" w:lineRule="auto"/>
        <w:ind w:left="1174" w:firstLine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public </w:t>
      </w:r>
      <w:r>
        <w:rPr>
          <w:rFonts w:ascii="Arial" w:eastAsia="Arial" w:hAnsi="Arial" w:cs="Arial"/>
          <w:sz w:val="20"/>
          <w:szCs w:val="20"/>
        </w:rPr>
        <w:t>sector supply chain management processes</w:t>
      </w:r>
      <w:r>
        <w:rPr>
          <w:rFonts w:ascii="Arial" w:eastAsia="Arial" w:hAnsi="Arial" w:cs="Arial"/>
          <w:sz w:val="20"/>
          <w:szCs w:val="20"/>
        </w:rPr>
        <w:t>.</w:t>
      </w:r>
    </w:p>
    <w:p>
      <w:pPr>
        <w:spacing w:before="0" w:after="0" w:line="288" w:lineRule="auto"/>
        <w:ind w:left="454"/>
        <w:jc w:val="both"/>
        <w:rPr>
          <w:sz w:val="20"/>
          <w:szCs w:val="20"/>
        </w:rPr>
      </w:pPr>
    </w:p>
    <w:p>
      <w:pPr>
        <w:spacing w:before="0" w:after="0" w:line="288" w:lineRule="auto"/>
        <w:ind w:left="45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completion of the </w:t>
      </w:r>
      <w:r>
        <w:rPr>
          <w:rFonts w:ascii="Arial" w:eastAsia="Arial" w:hAnsi="Arial" w:cs="Arial"/>
          <w:sz w:val="20"/>
          <w:szCs w:val="20"/>
        </w:rPr>
        <w:t xml:space="preserve">required </w:t>
      </w:r>
      <w:r>
        <w:rPr>
          <w:rFonts w:ascii="Arial" w:eastAsia="Arial" w:hAnsi="Arial" w:cs="Arial"/>
          <w:sz w:val="20"/>
          <w:szCs w:val="20"/>
        </w:rPr>
        <w:t>training</w:t>
      </w:r>
      <w:r>
        <w:rPr>
          <w:rFonts w:ascii="Arial" w:eastAsia="Arial" w:hAnsi="Arial" w:cs="Arial"/>
          <w:sz w:val="20"/>
          <w:szCs w:val="20"/>
        </w:rPr>
        <w:t>, INSETA expects the bid committee members</w:t>
      </w:r>
      <w:r>
        <w:rPr>
          <w:rFonts w:ascii="Arial" w:eastAsia="Arial" w:hAnsi="Arial" w:cs="Arial"/>
          <w:sz w:val="20"/>
          <w:szCs w:val="20"/>
        </w:rPr>
        <w:t xml:space="preserve"> and SCM practitioners</w:t>
      </w:r>
      <w:r>
        <w:rPr>
          <w:rFonts w:ascii="Arial" w:eastAsia="Arial" w:hAnsi="Arial" w:cs="Arial"/>
          <w:sz w:val="20"/>
          <w:szCs w:val="20"/>
        </w:rPr>
        <w:t xml:space="preserve"> to be able to fully </w:t>
      </w:r>
      <w:r>
        <w:rPr>
          <w:rFonts w:ascii="Arial" w:eastAsia="Arial" w:hAnsi="Arial" w:cs="Arial"/>
          <w:sz w:val="20"/>
          <w:szCs w:val="20"/>
        </w:rPr>
        <w:t>implement</w:t>
      </w:r>
      <w:r>
        <w:rPr>
          <w:rFonts w:ascii="Arial" w:eastAsia="Arial" w:hAnsi="Arial" w:cs="Arial"/>
          <w:sz w:val="20"/>
          <w:szCs w:val="20"/>
        </w:rPr>
        <w:t xml:space="preserve"> all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applicable legislation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in performing their duties during the bid committee meetings</w:t>
      </w:r>
      <w:r>
        <w:rPr>
          <w:rFonts w:ascii="Arial" w:eastAsia="Arial" w:hAnsi="Arial" w:cs="Arial"/>
          <w:sz w:val="20"/>
          <w:szCs w:val="20"/>
        </w:rPr>
        <w:t xml:space="preserve"> and obtain a minimum certificate of attendance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 w:line="288" w:lineRule="auto"/>
        <w:ind w:left="454"/>
        <w:jc w:val="both"/>
        <w:rPr>
          <w:sz w:val="20"/>
          <w:szCs w:val="20"/>
        </w:rPr>
      </w:pPr>
    </w:p>
    <w:p>
      <w:pPr>
        <w:spacing w:before="0" w:after="0"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r>
        <w:rPr>
          <w:rFonts w:ascii="Arial" w:eastAsia="Arial" w:hAnsi="Arial" w:cs="Arial"/>
          <w:sz w:val="20"/>
          <w:szCs w:val="20"/>
        </w:rPr>
        <w:t>The composition of the bid committee members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comprising</w:t>
      </w:r>
      <w:r>
        <w:rPr>
          <w:rFonts w:ascii="Arial" w:eastAsia="Arial" w:hAnsi="Arial" w:cs="Arial"/>
          <w:sz w:val="20"/>
          <w:szCs w:val="20"/>
        </w:rPr>
        <w:t xml:space="preserve"> of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 xml:space="preserve">minimum of </w:t>
      </w:r>
      <w:r>
        <w:rPr>
          <w:rFonts w:ascii="Arial" w:eastAsia="Arial" w:hAnsi="Arial" w:cs="Arial"/>
          <w:sz w:val="20"/>
          <w:szCs w:val="20"/>
        </w:rPr>
        <w:t>thirty</w:t>
      </w:r>
      <w:r>
        <w:rPr>
          <w:rFonts w:ascii="Arial" w:eastAsia="Arial" w:hAnsi="Arial" w:cs="Arial"/>
          <w:sz w:val="20"/>
          <w:szCs w:val="20"/>
        </w:rPr>
        <w:t>-six</w:t>
      </w:r>
      <w:r>
        <w:rPr>
          <w:rFonts w:ascii="Arial" w:eastAsia="Arial" w:hAnsi="Arial" w:cs="Arial"/>
          <w:sz w:val="20"/>
          <w:szCs w:val="20"/>
        </w:rPr>
        <w:t xml:space="preserve"> (3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>
      <w:pPr>
        <w:spacing w:before="0" w:after="0"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delegates, </w:t>
      </w:r>
      <w:r>
        <w:rPr>
          <w:rFonts w:ascii="Arial" w:eastAsia="Arial" w:hAnsi="Arial" w:cs="Arial"/>
          <w:sz w:val="20"/>
          <w:szCs w:val="20"/>
        </w:rPr>
        <w:t>as per the table below:</w:t>
      </w:r>
    </w:p>
    <w:tbl>
      <w:tblPr>
        <w:tblW w:w="9464" w:type="dxa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8720"/>
      </w:tblGrid>
      <w:tr>
        <w:tblPrEx>
          <w:tblW w:w="9464" w:type="dxa"/>
          <w:tblInd w:w="5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23E4F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0"/>
                <w:szCs w:val="20"/>
              </w:rPr>
              <w:t>No</w:t>
            </w:r>
          </w:p>
        </w:tc>
        <w:tc>
          <w:tcPr>
            <w:tcW w:w="89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323E4F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0"/>
                <w:szCs w:val="20"/>
              </w:rPr>
              <w:t>Bid Committee Type</w:t>
            </w:r>
          </w:p>
        </w:tc>
      </w:tr>
      <w:tr>
        <w:tblPrEx>
          <w:tblW w:w="9464" w:type="dxa"/>
          <w:tblInd w:w="5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Bid Specifications Committee</w:t>
            </w:r>
          </w:p>
        </w:tc>
      </w:tr>
      <w:tr>
        <w:tblPrEx>
          <w:tblW w:w="9464" w:type="dxa"/>
          <w:tblInd w:w="57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Bid Evaluation Committee</w:t>
            </w:r>
          </w:p>
        </w:tc>
      </w:tr>
      <w:tr>
        <w:tblPrEx>
          <w:tblW w:w="9464" w:type="dxa"/>
          <w:tblInd w:w="5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Bid Adjudication Committee</w:t>
            </w:r>
          </w:p>
        </w:tc>
      </w:tr>
      <w:tr>
        <w:tblPrEx>
          <w:tblW w:w="9464" w:type="dxa"/>
          <w:tblInd w:w="5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88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Supply Chain Management Practitioners</w:t>
            </w:r>
          </w:p>
        </w:tc>
      </w:tr>
    </w:tbl>
    <w:p>
      <w:pPr>
        <w:spacing w:before="0" w:after="0" w:line="276" w:lineRule="auto"/>
        <w:jc w:val="both"/>
        <w:rPr>
          <w:sz w:val="20"/>
          <w:szCs w:val="20"/>
        </w:rPr>
      </w:pPr>
    </w:p>
    <w:p>
      <w:pPr>
        <w:spacing w:before="0" w:after="0" w:line="276" w:lineRule="auto"/>
        <w:jc w:val="both"/>
        <w:rPr>
          <w:sz w:val="20"/>
          <w:szCs w:val="20"/>
        </w:rPr>
      </w:pPr>
    </w:p>
    <w:p>
      <w:pPr>
        <w:numPr>
          <w:ilvl w:val="0"/>
          <w:numId w:val="3"/>
        </w:numPr>
        <w:pBdr>
          <w:left w:val="none" w:sz="0" w:space="11" w:color="auto"/>
        </w:pBdr>
        <w:spacing w:before="0" w:after="0" w:line="276" w:lineRule="auto"/>
        <w:ind w:left="504" w:right="0" w:hanging="487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EVALUATION PROCESS</w:t>
      </w:r>
    </w:p>
    <w:p>
      <w:pPr>
        <w:keepNext/>
        <w:keepLines/>
        <w:spacing w:before="0" w:after="0"/>
        <w:rPr>
          <w:sz w:val="20"/>
          <w:szCs w:val="20"/>
        </w:rPr>
      </w:pPr>
    </w:p>
    <w:p>
      <w:pPr>
        <w:spacing w:before="0" w:after="0" w:line="276" w:lineRule="auto"/>
        <w:ind w:left="5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.1.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The RFQ will be evaluated and adjudicated on </w:t>
      </w:r>
      <w:r>
        <w:rPr>
          <w:rFonts w:ascii="Arial" w:eastAsia="Arial" w:hAnsi="Arial" w:cs="Arial"/>
          <w:b/>
          <w:bCs/>
          <w:sz w:val="20"/>
          <w:szCs w:val="20"/>
        </w:rPr>
        <w:t>the fo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lowing four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) different level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ind w:left="5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3.1.1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Pre-Qualification Criteria </w:t>
      </w:r>
    </w:p>
    <w:p>
      <w:pPr>
        <w:spacing w:before="0" w:after="0" w:line="288" w:lineRule="auto"/>
        <w:ind w:left="360"/>
        <w:rPr>
          <w:sz w:val="20"/>
          <w:szCs w:val="20"/>
        </w:rPr>
      </w:pPr>
    </w:p>
    <w:p>
      <w:pPr>
        <w:spacing w:before="0" w:after="0" w:line="288" w:lineRule="auto"/>
        <w:ind w:left="1571" w:hanging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</w:t>
      </w:r>
      <w:r>
        <w:rPr>
          <w:rFonts w:ascii="Arial" w:eastAsia="Arial" w:hAnsi="Arial" w:cs="Arial"/>
          <w:sz w:val="20"/>
          <w:szCs w:val="20"/>
        </w:rPr>
        <w:t>Bidder must submit proof of registration on CSD (Central Supplier Database)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The bidder will be verified if they are not listed on database of restricted suppliers and register of tender defaulter.</w:t>
      </w:r>
      <w:r>
        <w:rPr>
          <w:rFonts w:ascii="Arial" w:eastAsia="Arial" w:hAnsi="Arial" w:cs="Arial"/>
          <w:sz w:val="20"/>
          <w:szCs w:val="20"/>
        </w:rPr>
        <w:t xml:space="preserve"> The bidder will also be veriifed if they are in business.</w:t>
      </w:r>
    </w:p>
    <w:p>
      <w:pPr>
        <w:spacing w:before="0" w:after="0" w:line="288" w:lineRule="auto"/>
        <w:ind w:left="1571"/>
        <w:rPr>
          <w:sz w:val="20"/>
          <w:szCs w:val="20"/>
        </w:rPr>
      </w:pPr>
    </w:p>
    <w:p>
      <w:pPr>
        <w:spacing w:before="0" w:after="0" w:line="288" w:lineRule="auto"/>
        <w:ind w:left="1571" w:hanging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 xml:space="preserve">Bidder must submit proof and must be an EME or QSE only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(level 1 or level 2 BBBEE contributor) </w:t>
      </w:r>
      <w:r>
        <w:rPr>
          <w:rFonts w:ascii="Arial" w:eastAsia="Arial" w:hAnsi="Arial" w:cs="Arial"/>
          <w:sz w:val="20"/>
          <w:szCs w:val="20"/>
        </w:rPr>
        <w:t xml:space="preserve">status will be considered </w:t>
      </w:r>
      <w:r>
        <w:rPr>
          <w:rFonts w:ascii="Arial" w:eastAsia="Arial" w:hAnsi="Arial" w:cs="Arial"/>
          <w:b/>
          <w:bCs/>
          <w:sz w:val="20"/>
          <w:szCs w:val="20"/>
        </w:rPr>
        <w:t>(no generic companies will be considered)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>
      <w:pPr>
        <w:spacing w:before="0" w:after="0" w:line="288" w:lineRule="auto"/>
        <w:ind w:left="1211"/>
        <w:rPr>
          <w:sz w:val="20"/>
          <w:szCs w:val="20"/>
        </w:rPr>
      </w:pPr>
    </w:p>
    <w:p>
      <w:pPr>
        <w:tabs>
          <w:tab w:val="left" w:pos="851"/>
        </w:tabs>
        <w:spacing w:before="0" w:after="0"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Note: All bidders who do not comply with the items listed above will be disqualified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and not be </w:t>
      </w:r>
    </w:p>
    <w:p>
      <w:pPr>
        <w:tabs>
          <w:tab w:val="left" w:pos="851"/>
        </w:tabs>
        <w:spacing w:before="0" w:after="0"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evaluated further.</w:t>
      </w:r>
    </w:p>
    <w:p>
      <w:pPr>
        <w:spacing w:before="0" w:after="0" w:line="288" w:lineRule="auto"/>
        <w:ind w:left="360"/>
        <w:rPr>
          <w:sz w:val="20"/>
          <w:szCs w:val="20"/>
        </w:rPr>
      </w:pPr>
    </w:p>
    <w:p>
      <w:pPr>
        <w:spacing w:before="0" w:after="0" w:line="28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bCs/>
          <w:sz w:val="20"/>
          <w:szCs w:val="20"/>
        </w:rPr>
        <w:t>Compliance to RFQ requirements</w:t>
      </w:r>
    </w:p>
    <w:p>
      <w:pPr>
        <w:spacing w:before="0" w:after="0" w:line="288" w:lineRule="auto"/>
        <w:ind w:left="360"/>
        <w:rPr>
          <w:sz w:val="20"/>
          <w:szCs w:val="20"/>
        </w:rPr>
      </w:pPr>
    </w:p>
    <w:p>
      <w:pPr>
        <w:spacing w:before="0" w:after="0" w:line="288" w:lineRule="auto"/>
        <w:ind w:left="1571" w:hanging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roposals will be verified against all administrative re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uirements of the bid which included the completeness of the Standard Bidding Documents </w:t>
      </w:r>
      <w:r>
        <w:rPr>
          <w:rFonts w:ascii="Arial" w:eastAsia="Arial" w:hAnsi="Arial" w:cs="Arial"/>
          <w:sz w:val="20"/>
          <w:szCs w:val="20"/>
        </w:rPr>
        <w:t>and G</w:t>
      </w:r>
      <w:r>
        <w:rPr>
          <w:rFonts w:ascii="Arial" w:eastAsia="Arial" w:hAnsi="Arial" w:cs="Arial"/>
          <w:sz w:val="20"/>
          <w:szCs w:val="20"/>
        </w:rPr>
        <w:t>eneral Conditions of Contract (G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>
      <w:pPr>
        <w:spacing w:before="0" w:after="0" w:line="288" w:lineRule="auto"/>
        <w:ind w:left="851"/>
        <w:rPr>
          <w:sz w:val="20"/>
          <w:szCs w:val="20"/>
        </w:rPr>
      </w:pPr>
    </w:p>
    <w:p>
      <w:pPr>
        <w:spacing w:before="0" w:after="0" w:line="288" w:lineRule="auto"/>
        <w:ind w:left="85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Note: All bidders who do not comply with the items listed above will be disqualified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and not be evaluated further.</w:t>
      </w:r>
    </w:p>
    <w:p>
      <w:pPr>
        <w:widowControl w:val="0"/>
        <w:spacing w:before="0" w:after="0"/>
        <w:jc w:val="both"/>
        <w:rPr>
          <w:sz w:val="20"/>
          <w:szCs w:val="20"/>
        </w:rPr>
      </w:pPr>
    </w:p>
    <w:p>
      <w:pPr>
        <w:spacing w:before="0" w:after="0" w:line="28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3.1.3.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Mandatory Requirement: Bidders must meet compulsory requirements to be evaluated </w:t>
      </w:r>
    </w:p>
    <w:p>
      <w:pPr>
        <w:spacing w:before="0" w:after="0" w:line="28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</w:rPr>
        <w:t>further on price and preference.</w:t>
      </w:r>
    </w:p>
    <w:p>
      <w:pPr>
        <w:widowControl w:val="0"/>
        <w:spacing w:before="0" w:after="0"/>
        <w:ind w:firstLine="42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 w:line="288" w:lineRule="auto"/>
        <w:ind w:left="1800" w:hanging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institution must be </w:t>
      </w:r>
      <w:r>
        <w:rPr>
          <w:rFonts w:ascii="Arial" w:eastAsia="Arial" w:hAnsi="Arial" w:cs="Arial"/>
          <w:sz w:val="20"/>
          <w:szCs w:val="20"/>
        </w:rPr>
        <w:t>accredited with a relevant professional body</w:t>
      </w:r>
      <w:r>
        <w:rPr>
          <w:rFonts w:ascii="Arial" w:eastAsia="Arial" w:hAnsi="Arial" w:cs="Arial"/>
          <w:sz w:val="20"/>
          <w:szCs w:val="20"/>
        </w:rPr>
        <w:t>.</w:t>
      </w:r>
    </w:p>
    <w:p>
      <w:pPr>
        <w:spacing w:before="0" w:after="0" w:line="288" w:lineRule="auto"/>
        <w:ind w:left="1800"/>
        <w:jc w:val="both"/>
        <w:rPr>
          <w:sz w:val="20"/>
          <w:szCs w:val="20"/>
        </w:rPr>
      </w:pPr>
    </w:p>
    <w:p>
      <w:pPr>
        <w:spacing w:before="0" w:after="0" w:line="288" w:lineRule="auto"/>
        <w:ind w:left="1800" w:hanging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z w:val="20"/>
          <w:szCs w:val="20"/>
        </w:rPr>
        <w:t xml:space="preserve"> must provider a minimum of t</w:t>
      </w:r>
      <w:r>
        <w:rPr>
          <w:rFonts w:ascii="Arial" w:eastAsia="Arial" w:hAnsi="Arial" w:cs="Arial"/>
          <w:sz w:val="20"/>
          <w:szCs w:val="20"/>
        </w:rPr>
        <w:t xml:space="preserve">wo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 reference letters indicating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experience in providing public sector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supply chain management training within the last 3 years, focusing on PFMA, PPPFA. </w:t>
      </w:r>
      <w:r>
        <w:rPr>
          <w:rFonts w:ascii="Arial" w:eastAsia="Arial" w:hAnsi="Arial" w:cs="Arial"/>
          <w:b/>
          <w:bCs/>
          <w:sz w:val="20"/>
          <w:szCs w:val="20"/>
        </w:rPr>
        <w:t>Reference letters must be dated, signed and be in the referring company’s letterhead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List of projects that the company has undertaken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SCM training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will not be accepted.</w:t>
      </w:r>
    </w:p>
    <w:p>
      <w:pPr>
        <w:spacing w:before="0" w:after="0" w:line="288" w:lineRule="auto"/>
        <w:ind w:left="900"/>
        <w:rPr>
          <w:sz w:val="20"/>
          <w:szCs w:val="20"/>
        </w:rPr>
      </w:pPr>
    </w:p>
    <w:p>
      <w:pPr>
        <w:spacing w:before="0" w:after="0" w:line="288" w:lineRule="auto"/>
        <w:ind w:left="1800" w:hanging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z w:val="20"/>
          <w:szCs w:val="20"/>
        </w:rPr>
        <w:t xml:space="preserve"> must provide </w:t>
      </w:r>
      <w:r>
        <w:rPr>
          <w:rFonts w:ascii="Arial" w:eastAsia="Arial" w:hAnsi="Arial" w:cs="Arial"/>
          <w:sz w:val="20"/>
          <w:szCs w:val="20"/>
        </w:rPr>
        <w:t xml:space="preserve">lead </w:t>
      </w:r>
      <w:r>
        <w:rPr>
          <w:rFonts w:ascii="Arial" w:eastAsia="Arial" w:hAnsi="Arial" w:cs="Arial"/>
          <w:sz w:val="20"/>
          <w:szCs w:val="20"/>
        </w:rPr>
        <w:t>facilitator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is </w:t>
      </w:r>
      <w:r>
        <w:rPr>
          <w:rFonts w:ascii="Arial" w:eastAsia="Arial" w:hAnsi="Arial" w:cs="Arial"/>
          <w:sz w:val="20"/>
          <w:szCs w:val="20"/>
        </w:rPr>
        <w:t xml:space="preserve">in possession of a minimum of NQF level-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qualification specialising in supply Chain Management, Commerce 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ave </w:t>
      </w:r>
      <w:r>
        <w:rPr>
          <w:rFonts w:ascii="Arial" w:eastAsia="Arial" w:hAnsi="Arial" w:cs="Arial"/>
          <w:sz w:val="20"/>
          <w:szCs w:val="20"/>
        </w:rPr>
        <w:t>a minimum</w:t>
      </w:r>
      <w:r>
        <w:rPr>
          <w:rFonts w:ascii="Arial" w:eastAsia="Arial" w:hAnsi="Arial" w:cs="Arial"/>
          <w:sz w:val="20"/>
          <w:szCs w:val="20"/>
        </w:rPr>
        <w:t xml:space="preserve"> of five (5</w:t>
      </w:r>
      <w:r>
        <w:rPr>
          <w:rFonts w:ascii="Arial" w:eastAsia="Arial" w:hAnsi="Arial" w:cs="Arial"/>
          <w:sz w:val="20"/>
          <w:szCs w:val="20"/>
        </w:rPr>
        <w:t>) years’ experience in public sector supply chain management (a detailed CV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be provided</w:t>
      </w:r>
      <w:r>
        <w:rPr>
          <w:rFonts w:ascii="Arial" w:eastAsia="Arial" w:hAnsi="Arial" w:cs="Arial"/>
          <w:sz w:val="20"/>
          <w:szCs w:val="20"/>
        </w:rPr>
        <w:t xml:space="preserve"> and copy of qualification)</w:t>
      </w:r>
      <w:r>
        <w:rPr>
          <w:rFonts w:ascii="Arial" w:eastAsia="Arial" w:hAnsi="Arial" w:cs="Arial"/>
          <w:sz w:val="20"/>
          <w:szCs w:val="20"/>
        </w:rPr>
        <w:t>.</w:t>
      </w:r>
    </w:p>
    <w:p>
      <w:pPr>
        <w:spacing w:before="0" w:after="0" w:line="288" w:lineRule="auto"/>
        <w:ind w:left="720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Failure to provide this mandatory information will lead to bidder’s proposal not been considered further on price and BBBEE.</w:t>
      </w:r>
    </w:p>
    <w:p>
      <w:pPr>
        <w:spacing w:before="0" w:after="0" w:line="288" w:lineRule="auto"/>
        <w:rPr>
          <w:sz w:val="20"/>
          <w:szCs w:val="20"/>
        </w:rPr>
      </w:pPr>
    </w:p>
    <w:p>
      <w:pPr>
        <w:widowControl w:val="0"/>
        <w:spacing w:before="0" w:after="0"/>
        <w:ind w:left="720" w:hanging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3.1.4.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</w:t>
      </w:r>
      <w:r>
        <w:rPr>
          <w:rFonts w:ascii="Arial" w:eastAsia="Arial" w:hAnsi="Arial" w:cs="Arial"/>
          <w:b/>
          <w:bCs/>
          <w:sz w:val="20"/>
          <w:szCs w:val="20"/>
        </w:rPr>
        <w:t>Price &amp; B-BBEE</w:t>
      </w:r>
      <w:r>
        <w:rPr>
          <w:rFonts w:ascii="Arial" w:eastAsia="Arial" w:hAnsi="Arial" w:cs="Arial"/>
          <w:sz w:val="20"/>
          <w:szCs w:val="20"/>
        </w:rPr>
        <w:t>: Evaluation based on price and BBBEE in line with the provisions of the Preferential Procurement Policy Framework Act of 2017.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numPr>
          <w:ilvl w:val="0"/>
          <w:numId w:val="4"/>
        </w:numPr>
        <w:pBdr>
          <w:left w:val="none" w:sz="0" w:space="22" w:color="auto"/>
        </w:pBdr>
        <w:spacing w:before="0" w:after="0" w:line="276" w:lineRule="auto"/>
        <w:ind w:left="709" w:right="0" w:hanging="692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PRICING CONSIDERATIONS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</w:p>
    <w:p>
      <w:pPr>
        <w:spacing w:before="0" w:after="0" w:line="276" w:lineRule="auto"/>
        <w:ind w:left="426"/>
        <w:rPr>
          <w:sz w:val="20"/>
          <w:szCs w:val="20"/>
        </w:rPr>
      </w:pP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bidder</w:t>
      </w:r>
      <w:r>
        <w:rPr>
          <w:rFonts w:ascii="Arial" w:eastAsia="Arial" w:hAnsi="Arial" w:cs="Arial"/>
          <w:sz w:val="20"/>
          <w:szCs w:val="20"/>
        </w:rPr>
        <w:t xml:space="preserve"> must consider the following for price quotations and must be inclusive of all </w:t>
      </w:r>
    </w:p>
    <w:p>
      <w:pPr>
        <w:spacing w:before="0" w:after="0" w:line="276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applicable taxes </w:t>
      </w:r>
      <w:r>
        <w:rPr>
          <w:rFonts w:ascii="Arial" w:eastAsia="Arial" w:hAnsi="Arial" w:cs="Arial"/>
          <w:b/>
          <w:bCs/>
          <w:sz w:val="20"/>
          <w:szCs w:val="20"/>
        </w:rPr>
        <w:t>(including VAT)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training provider will be required to train the participants</w:t>
      </w:r>
      <w:r>
        <w:rPr>
          <w:rFonts w:ascii="Arial" w:eastAsia="Arial" w:hAnsi="Arial" w:cs="Arial"/>
          <w:sz w:val="20"/>
          <w:szCs w:val="20"/>
        </w:rPr>
        <w:t xml:space="preserve"> online (teams)</w:t>
      </w:r>
      <w:r>
        <w:rPr>
          <w:rFonts w:ascii="Arial" w:eastAsia="Arial" w:hAnsi="Arial" w:cs="Arial"/>
          <w:sz w:val="20"/>
          <w:szCs w:val="20"/>
        </w:rPr>
        <w:t xml:space="preserve"> in three (3) sessions consisting of a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z w:val="20"/>
          <w:szCs w:val="20"/>
        </w:rPr>
        <w:t xml:space="preserve"> of 12 participants in different days: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>
      <w:pPr>
        <w:spacing w:before="0" w:after="0" w:line="276" w:lineRule="auto"/>
        <w:ind w:left="108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Costing for first session, for training over 3 days – </w:t>
      </w:r>
      <w:r>
        <w:rPr>
          <w:rFonts w:ascii="Arial" w:eastAsia="Arial" w:hAnsi="Arial" w:cs="Arial"/>
          <w:sz w:val="20"/>
          <w:szCs w:val="20"/>
        </w:rPr>
        <w:t xml:space="preserve">minimum of </w:t>
      </w:r>
      <w:r>
        <w:rPr>
          <w:rFonts w:ascii="Arial" w:eastAsia="Arial" w:hAnsi="Arial" w:cs="Arial"/>
          <w:sz w:val="20"/>
          <w:szCs w:val="20"/>
        </w:rPr>
        <w:t>12 Participants</w:t>
      </w:r>
    </w:p>
    <w:p>
      <w:pPr>
        <w:spacing w:before="0" w:after="0" w:line="276" w:lineRule="auto"/>
        <w:ind w:left="108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Costing for second session, for training over 3 days </w:t>
      </w:r>
      <w:r>
        <w:rPr>
          <w:rFonts w:ascii="Arial" w:eastAsia="Arial" w:hAnsi="Arial" w:cs="Arial"/>
          <w:sz w:val="20"/>
          <w:szCs w:val="20"/>
        </w:rPr>
        <w:t>– minimum of</w:t>
      </w:r>
      <w:r>
        <w:rPr>
          <w:rFonts w:ascii="Arial" w:eastAsia="Arial" w:hAnsi="Arial" w:cs="Arial"/>
          <w:sz w:val="20"/>
          <w:szCs w:val="20"/>
        </w:rPr>
        <w:t xml:space="preserve"> 12 Participants</w:t>
      </w:r>
    </w:p>
    <w:p>
      <w:pPr>
        <w:spacing w:before="0" w:after="0" w:line="276" w:lineRule="auto"/>
        <w:ind w:left="108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Costing for third session for training over 3 days - </w:t>
      </w:r>
      <w:r>
        <w:rPr>
          <w:rFonts w:ascii="Arial" w:eastAsia="Arial" w:hAnsi="Arial" w:cs="Arial"/>
          <w:sz w:val="20"/>
          <w:szCs w:val="20"/>
        </w:rPr>
        <w:t xml:space="preserve">minimum of </w:t>
      </w:r>
      <w:r>
        <w:rPr>
          <w:rFonts w:ascii="Arial" w:eastAsia="Arial" w:hAnsi="Arial" w:cs="Arial"/>
          <w:sz w:val="20"/>
          <w:szCs w:val="20"/>
        </w:rPr>
        <w:t>12 Participants</w:t>
      </w:r>
    </w:p>
    <w:p>
      <w:pPr>
        <w:spacing w:before="0" w:after="0" w:line="276" w:lineRule="auto"/>
        <w:ind w:left="1080"/>
        <w:rPr>
          <w:sz w:val="20"/>
          <w:szCs w:val="20"/>
        </w:rPr>
      </w:pPr>
    </w:p>
    <w:p>
      <w:pPr>
        <w:spacing w:before="0" w:after="0" w:line="276" w:lineRule="auto"/>
        <w:ind w:left="720" w:hanging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bidder</w:t>
      </w:r>
      <w:r>
        <w:rPr>
          <w:rFonts w:ascii="Arial" w:eastAsia="Arial" w:hAnsi="Arial" w:cs="Arial"/>
          <w:sz w:val="20"/>
          <w:szCs w:val="20"/>
        </w:rPr>
        <w:t xml:space="preserve"> will be responsible for the following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 w:line="276" w:lineRule="auto"/>
        <w:ind w:left="108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(iv)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Presenting, </w:t>
      </w:r>
      <w:r>
        <w:rPr>
          <w:rFonts w:ascii="Arial" w:eastAsia="Arial" w:hAnsi="Arial" w:cs="Arial"/>
          <w:sz w:val="20"/>
          <w:szCs w:val="20"/>
        </w:rPr>
        <w:t>Printing and distributing of training manuals</w:t>
      </w:r>
      <w:r>
        <w:rPr>
          <w:rFonts w:ascii="Arial" w:eastAsia="Arial" w:hAnsi="Arial" w:cs="Arial"/>
          <w:sz w:val="20"/>
          <w:szCs w:val="20"/>
        </w:rPr>
        <w:t xml:space="preserve"> to INSETA Office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 w:line="276" w:lineRule="auto"/>
        <w:ind w:left="108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Printing of certificates of </w:t>
      </w:r>
      <w:r>
        <w:rPr>
          <w:rFonts w:ascii="Arial" w:eastAsia="Arial" w:hAnsi="Arial" w:cs="Arial"/>
          <w:sz w:val="20"/>
          <w:szCs w:val="20"/>
        </w:rPr>
        <w:t>attendance.</w:t>
      </w:r>
    </w:p>
    <w:p>
      <w:pPr>
        <w:spacing w:before="0" w:after="0" w:line="276" w:lineRule="auto"/>
        <w:ind w:left="108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Other training associated costs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NB:</w:t>
      </w: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ax matter </w:t>
      </w:r>
      <w:r>
        <w:rPr>
          <w:rFonts w:ascii="Arial" w:eastAsia="Arial" w:hAnsi="Arial" w:cs="Arial"/>
          <w:sz w:val="20"/>
          <w:szCs w:val="20"/>
        </w:rPr>
        <w:t>for the recommended</w:t>
      </w:r>
      <w:r>
        <w:rPr>
          <w:rFonts w:ascii="Arial" w:eastAsia="Arial" w:hAnsi="Arial" w:cs="Arial"/>
          <w:sz w:val="20"/>
          <w:szCs w:val="20"/>
        </w:rPr>
        <w:t xml:space="preserve"> bidder will be verified on Central Supplier Database (CSD)</w:t>
      </w:r>
      <w:r>
        <w:rPr>
          <w:rFonts w:ascii="Arial" w:eastAsia="Arial" w:hAnsi="Arial" w:cs="Arial"/>
          <w:sz w:val="20"/>
          <w:szCs w:val="20"/>
        </w:rPr>
        <w:t xml:space="preserve"> or </w:t>
      </w:r>
      <w:r>
        <w:rPr>
          <w:rFonts w:ascii="Arial" w:eastAsia="Arial" w:hAnsi="Arial" w:cs="Arial"/>
          <w:sz w:val="20"/>
          <w:szCs w:val="20"/>
        </w:rPr>
        <w:t xml:space="preserve">SARS </w:t>
      </w:r>
      <w:r>
        <w:rPr>
          <w:rFonts w:ascii="Arial" w:eastAsia="Arial" w:hAnsi="Arial" w:cs="Arial"/>
          <w:sz w:val="20"/>
          <w:szCs w:val="20"/>
        </w:rPr>
        <w:t>EFilling</w:t>
      </w:r>
      <w:r>
        <w:rPr>
          <w:rFonts w:ascii="Arial" w:eastAsia="Arial" w:hAnsi="Arial" w:cs="Arial"/>
          <w:sz w:val="20"/>
          <w:szCs w:val="20"/>
        </w:rPr>
        <w:t xml:space="preserve"> prior awarding.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sz w:val="20"/>
          <w:szCs w:val="20"/>
        </w:rPr>
        <w:t>the bidders’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 matters are non-</w:t>
      </w:r>
      <w:r>
        <w:rPr>
          <w:rFonts w:ascii="Arial" w:eastAsia="Arial" w:hAnsi="Arial" w:cs="Arial"/>
          <w:sz w:val="20"/>
          <w:szCs w:val="20"/>
        </w:rPr>
        <w:t>compliant</w:t>
      </w:r>
      <w:r>
        <w:rPr>
          <w:rFonts w:ascii="Arial" w:eastAsia="Arial" w:hAnsi="Arial" w:cs="Arial"/>
          <w:sz w:val="20"/>
          <w:szCs w:val="20"/>
        </w:rPr>
        <w:t xml:space="preserve"> in terms of </w:t>
      </w:r>
      <w:r>
        <w:rPr>
          <w:rFonts w:ascii="Arial" w:eastAsia="Arial" w:hAnsi="Arial" w:cs="Arial"/>
          <w:sz w:val="20"/>
          <w:szCs w:val="20"/>
        </w:rPr>
        <w:t xml:space="preserve">clause 4.2 &amp; 4.3 will be exercised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z w:val="20"/>
          <w:szCs w:val="20"/>
        </w:rPr>
        <w:t>National Treasury Instruction No. 09 of 2017/2018</w:t>
      </w:r>
      <w:r>
        <w:rPr>
          <w:rFonts w:ascii="Arial" w:eastAsia="Arial" w:hAnsi="Arial" w:cs="Arial"/>
          <w:sz w:val="20"/>
          <w:szCs w:val="20"/>
        </w:rPr>
        <w:t xml:space="preserve"> (Tax Compliance Status Verification).</w:t>
      </w:r>
    </w:p>
    <w:p>
      <w:pPr>
        <w:spacing w:before="0" w:after="0" w:line="276" w:lineRule="auto"/>
        <w:ind w:left="1440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ANNEXURE A</w:t>
      </w: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jc w:val="both"/>
        <w:rPr>
          <w:sz w:val="20"/>
          <w:szCs w:val="20"/>
        </w:rPr>
      </w:pPr>
    </w:p>
    <w:p>
      <w:pPr>
        <w:spacing w:before="0" w:after="0"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Full Name of Bidder: </w:t>
      </w:r>
      <w:r>
        <w:rPr>
          <w:rFonts w:ascii="Arial" w:eastAsia="Arial" w:hAnsi="Arial" w:cs="Arial"/>
          <w:sz w:val="20"/>
          <w:szCs w:val="20"/>
          <w:u w:val="single"/>
        </w:rPr>
        <w:t>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</w:p>
    <w:p>
      <w:pPr>
        <w:spacing w:before="0" w:after="0" w:line="288" w:lineRule="auto"/>
        <w:jc w:val="both"/>
        <w:rPr>
          <w:sz w:val="20"/>
          <w:szCs w:val="20"/>
        </w:rPr>
      </w:pPr>
    </w:p>
    <w:p>
      <w:pPr>
        <w:spacing w:before="0" w:after="0"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Company Name: 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</w:p>
    <w:p>
      <w:pPr>
        <w:spacing w:before="0" w:after="0" w:line="288" w:lineRule="auto"/>
        <w:jc w:val="both"/>
        <w:rPr>
          <w:sz w:val="20"/>
          <w:szCs w:val="20"/>
        </w:rPr>
      </w:pPr>
    </w:p>
    <w:p>
      <w:pPr>
        <w:spacing w:before="0" w:after="0"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CSD Number: </w:t>
      </w:r>
      <w:r>
        <w:rPr>
          <w:rFonts w:ascii="Arial" w:eastAsia="Arial" w:hAnsi="Arial" w:cs="Arial"/>
          <w:sz w:val="20"/>
          <w:szCs w:val="20"/>
          <w:u w:val="single"/>
        </w:rPr>
        <w:t>MAAA</w:t>
      </w:r>
      <w:r>
        <w:rPr>
          <w:rFonts w:ascii="Arial" w:eastAsia="Arial" w:hAnsi="Arial" w:cs="Arial"/>
          <w:sz w:val="20"/>
          <w:szCs w:val="20"/>
          <w:u w:val="single"/>
        </w:rPr>
        <w:t>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sz w:val="20"/>
          <w:szCs w:val="20"/>
          <w:u w:val="single"/>
        </w:rPr>
        <w:t>              </w:t>
      </w:r>
    </w:p>
    <w:p>
      <w:pPr>
        <w:spacing w:before="0" w:after="0" w:line="288" w:lineRule="auto"/>
        <w:jc w:val="both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TERMS AND CONDITIONS APPLICABLE TO THIS RFQ: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INSETA reserves the right to request new or additional information from all bidders associated with their quotations.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INSETA reserves the right to verify the information submitted by bidders. 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INSETA will reject/disqualify a bidder’s offer/quotation without any further consideration where that Bidder makes culpable misrepresentation to INSETA in its submission or at any stage during and after this RFQ process.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Bidders are required to declare any conflict of interests and potential conflict of interests they may have in the transaction for which this RFQ is submitted.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INSETA reserves the right not to consider any quotation/proposal where such a conflict of interests exists.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Any and all documentation relating to this contract shall be the property of INSETA.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In adherence to the specific terms and conditions of this RFQ, the bidder shall be bound by the provisions of the Government Procurement: General Conditions of Contract of 2010. 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Late and incomplete submissions will not be accepted.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Quotations/proposals shall be valid for at least 30 days from date of submission.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Quotations/proposals not in line with the scope of work and conditions of this RFQ shall be regarded as non-responsive and will not be accepted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Bidders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</w:t>
      </w:r>
      <w:r>
        <w:rPr>
          <w:rFonts w:ascii="Arial" w:eastAsia="Arial" w:hAnsi="Arial" w:cs="Arial"/>
          <w:sz w:val="20"/>
          <w:szCs w:val="20"/>
        </w:rPr>
        <w:t>be registered on the National Treasury Central Supplier Database (CSD) and state their supplier number in their quotations/proposals.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Bidders are required to submit an original or certified BBBEE certificate or sworn affidavit in line with the Regulations.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The 80/20 preference point system as prescribed by the Preferential Procurement Regulations, 2017 shall apply.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Bidders must complete and sign SBD4, SBD6.1, SBD8 and SBD 9.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INSETA does not do upfront payments.</w:t>
      </w:r>
    </w:p>
    <w:p>
      <w:pPr>
        <w:spacing w:before="0" w:after="0" w:line="276" w:lineRule="auto"/>
        <w:ind w:left="72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D8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Quotations along with required documentation and SBD forms must be emailed to </w:t>
      </w:r>
      <w:hyperlink r:id="rId4" w:history="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rfqs@inseta.org.za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or before 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October 2020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at 11h00.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6" w:h="16838"/>
          <w:pgMar w:top="1440" w:right="1104" w:bottom="348" w:left="1440" w:header="708" w:footer="708"/>
          <w:cols w:space="708"/>
        </w:sectPr>
      </w:pPr>
      <w:r>
        <w:rPr>
          <w:rFonts w:ascii="Arial" w:eastAsia="Arial" w:hAnsi="Arial" w:cs="Arial"/>
          <w:color w:val="FF0000"/>
          <w:sz w:val="20"/>
          <w:szCs w:val="20"/>
        </w:rPr>
        <w:t>Failure to comply with the above conditions invalidates your offe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</w:p>
    <w:p>
      <w:pPr>
        <w:spacing w:before="0" w:after="0" w:line="288" w:lineRule="auto"/>
        <w:jc w:val="both"/>
        <w:rPr>
          <w:sz w:val="22"/>
          <w:szCs w:val="22"/>
        </w:rPr>
      </w:pPr>
    </w:p>
    <w:sectPr>
      <w:type w:val="continuous"/>
      <w:pgSz w:w="11906" w:h="16838"/>
      <w:pgMar w:top="1440" w:right="1104" w:bottom="348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88" w:lineRule="auto"/>
      <w:jc w:val="center"/>
      <w:rPr>
        <w:sz w:val="16"/>
        <w:szCs w:val="16"/>
      </w:rPr>
    </w:pPr>
  </w:p>
  <w:p>
    <w:pPr>
      <w:spacing w:before="0" w:after="0" w:line="288" w:lineRule="auto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RFQ/20</w:t>
    </w:r>
    <w:r>
      <w:rPr>
        <w:rFonts w:ascii="Arial" w:eastAsia="Arial" w:hAnsi="Arial" w:cs="Arial"/>
        <w:sz w:val="18"/>
        <w:szCs w:val="18"/>
      </w:rPr>
      <w:t>20/2</w:t>
    </w:r>
    <w:r>
      <w:rPr>
        <w:rFonts w:ascii="Arial" w:eastAsia="Arial" w:hAnsi="Arial" w:cs="Arial"/>
        <w:sz w:val="18"/>
        <w:szCs w:val="18"/>
      </w:rPr>
      <w:t xml:space="preserve">2 </w:t>
    </w:r>
    <w:r>
      <w:rPr>
        <w:rFonts w:ascii="Arial" w:eastAsia="Arial" w:hAnsi="Arial" w:cs="Arial"/>
        <w:sz w:val="18"/>
        <w:szCs w:val="18"/>
      </w:rPr>
      <w:t xml:space="preserve">- </w:t>
    </w:r>
    <w:r>
      <w:rPr>
        <w:rFonts w:ascii="Arial" w:eastAsia="Arial" w:hAnsi="Arial" w:cs="Arial"/>
        <w:sz w:val="18"/>
        <w:szCs w:val="18"/>
      </w:rPr>
      <w:t xml:space="preserve">TRAINING </w:t>
    </w:r>
    <w:r>
      <w:rPr>
        <w:rFonts w:ascii="Arial" w:eastAsia="Arial" w:hAnsi="Arial" w:cs="Arial"/>
        <w:sz w:val="18"/>
        <w:szCs w:val="18"/>
      </w:rPr>
      <w:t>FOR BID</w:t>
    </w:r>
    <w:r>
      <w:rPr>
        <w:rFonts w:ascii="Arial" w:eastAsia="Arial" w:hAnsi="Arial" w:cs="Arial"/>
        <w:sz w:val="18"/>
        <w:szCs w:val="18"/>
      </w:rPr>
      <w:t xml:space="preserve"> COMMITTEE MEMBERS AND SUPPLY CHAIN MANAGEMENT PRACTITIONERS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395"/>
      </w:tabs>
      <w:spacing w:before="0" w:after="0"/>
      <w:ind w:left="4395" w:hanging="4395"/>
      <w:rPr>
        <w:sz w:val="20"/>
        <w:szCs w:val="20"/>
      </w:rPr>
    </w:pPr>
    <w:r>
      <w:rPr>
        <w:strike w:val="0"/>
        <w:sz w:val="20"/>
        <w:szCs w:val="20"/>
        <w:u w:val="none"/>
      </w:rPr>
      <w:drawing>
        <wp:anchor simplePos="0" relativeHeight="251658240" behindDoc="1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-1772285</wp:posOffset>
          </wp:positionV>
          <wp:extent cx="7572375" cy="9439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943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trike w:val="0"/>
        <w:sz w:val="20"/>
        <w:szCs w:val="20"/>
        <w:u w:val="none"/>
      </w:rPr>
      <w:tab/>
    </w:r>
  </w:p>
  <w:p>
    <w:pPr>
      <w:spacing w:before="0" w:after="0"/>
      <w:ind w:left="4395" w:hanging="4395"/>
      <w:rPr>
        <w:sz w:val="20"/>
        <w:szCs w:val="20"/>
      </w:rPr>
    </w:pPr>
  </w:p>
  <w:p>
    <w:pPr>
      <w:tabs>
        <w:tab w:val="center" w:pos="4395"/>
      </w:tabs>
      <w:spacing w:before="0" w:after="0"/>
      <w:ind w:left="4395" w:hanging="4395"/>
      <w:rPr>
        <w:sz w:val="13"/>
        <w:szCs w:val="13"/>
      </w:rPr>
    </w:pPr>
    <w:r>
      <w:rPr>
        <w:sz w:val="13"/>
        <w:szCs w:val="13"/>
      </w:rPr>
      <w:tab/>
    </w:r>
    <w:r>
      <w:rPr>
        <w:sz w:val="13"/>
        <w:szCs w:val="13"/>
      </w:rPr>
      <w:tab/>
    </w:r>
  </w:p>
  <w:p>
    <w:pPr>
      <w:spacing w:before="0" w:after="0"/>
      <w:ind w:left="4395" w:hanging="4395"/>
      <w:rPr>
        <w:sz w:val="13"/>
        <w:szCs w:val="13"/>
      </w:rPr>
    </w:pPr>
  </w:p>
  <w:p>
    <w:pPr>
      <w:spacing w:before="0" w:after="0"/>
      <w:ind w:left="4395" w:hanging="4395"/>
      <w:rPr>
        <w:sz w:val="13"/>
        <w:szCs w:val="13"/>
      </w:rPr>
    </w:pPr>
  </w:p>
  <w:p>
    <w:pPr>
      <w:spacing w:before="0" w:after="0"/>
      <w:ind w:left="4395" w:hanging="4395"/>
      <w:rPr>
        <w:sz w:val="13"/>
        <w:szCs w:val="13"/>
      </w:rPr>
    </w:pPr>
  </w:p>
  <w:p>
    <w:pPr>
      <w:spacing w:before="0" w:after="0"/>
      <w:ind w:left="4395" w:hanging="4395"/>
      <w:rPr>
        <w:sz w:val="13"/>
        <w:szCs w:val="13"/>
      </w:rPr>
    </w:pPr>
  </w:p>
  <w:p>
    <w:pPr>
      <w:spacing w:before="0" w:after="0"/>
      <w:ind w:left="4395" w:hanging="4395"/>
      <w:rPr>
        <w:sz w:val="13"/>
        <w:szCs w:val="13"/>
      </w:rPr>
    </w:pPr>
  </w:p>
  <w:p>
    <w:pPr>
      <w:tabs>
        <w:tab w:val="center" w:pos="4395"/>
      </w:tabs>
      <w:spacing w:before="0" w:after="0"/>
      <w:ind w:left="4395" w:hanging="4395"/>
      <w:rPr>
        <w:sz w:val="13"/>
        <w:szCs w:val="13"/>
      </w:rPr>
    </w:pP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rFonts w:ascii="Gill Sans" w:eastAsia="Gill Sans" w:hAnsi="Gill Sans" w:cs="Gill Sans"/>
        <w:sz w:val="13"/>
        <w:szCs w:val="13"/>
      </w:rPr>
      <w:t>Ground floor, 37 Empire Road</w:t>
    </w:r>
    <w:r>
      <w:rPr>
        <w:rFonts w:ascii="Gill Sans" w:eastAsia="Gill Sans" w:hAnsi="Gill Sans" w:cs="Gill Sans"/>
        <w:sz w:val="13"/>
        <w:szCs w:val="13"/>
      </w:rPr>
      <w:tab/>
    </w:r>
    <w:r>
      <w:rPr>
        <w:rFonts w:ascii="Gill Sans" w:eastAsia="Gill Sans" w:hAnsi="Gill Sans" w:cs="Gill Sans"/>
        <w:sz w:val="13"/>
        <w:szCs w:val="13"/>
      </w:rPr>
      <w:t>Tel</w:t>
    </w:r>
    <w:r>
      <w:rPr>
        <w:rFonts w:ascii="Gill Sans" w:eastAsia="Gill Sans" w:hAnsi="Gill Sans" w:cs="Gill Sans"/>
        <w:sz w:val="13"/>
        <w:szCs w:val="13"/>
      </w:rPr>
      <w:t xml:space="preserve">ephone: </w:t>
    </w:r>
    <w:r>
      <w:rPr>
        <w:rFonts w:ascii="Gill Sans" w:eastAsia="Gill Sans" w:hAnsi="Gill Sans" w:cs="Gill Sans"/>
        <w:sz w:val="13"/>
        <w:szCs w:val="13"/>
      </w:rPr>
      <w:t>011 381 8</w:t>
    </w:r>
    <w:r>
      <w:rPr>
        <w:rFonts w:ascii="Gill Sans" w:eastAsia="Gill Sans" w:hAnsi="Gill Sans" w:cs="Gill Sans"/>
        <w:sz w:val="13"/>
        <w:szCs w:val="13"/>
      </w:rPr>
      <w:t>9</w:t>
    </w:r>
    <w:r>
      <w:rPr>
        <w:rFonts w:ascii="Gill Sans" w:eastAsia="Gill Sans" w:hAnsi="Gill Sans" w:cs="Gill Sans"/>
        <w:sz w:val="13"/>
        <w:szCs w:val="13"/>
      </w:rPr>
      <w:t>00</w:t>
    </w:r>
  </w:p>
  <w:p>
    <w:pPr>
      <w:tabs>
        <w:tab w:val="center" w:pos="4395"/>
      </w:tabs>
      <w:spacing w:before="0" w:after="0"/>
      <w:ind w:left="5040" w:hanging="5040"/>
      <w:rPr>
        <w:sz w:val="13"/>
        <w:szCs w:val="13"/>
      </w:rPr>
    </w:pP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rFonts w:ascii="Gill Sans" w:eastAsia="Gill Sans" w:hAnsi="Gill Sans" w:cs="Gill Sans"/>
        <w:sz w:val="13"/>
        <w:szCs w:val="13"/>
      </w:rPr>
      <w:t>P</w:t>
    </w:r>
    <w:r>
      <w:rPr>
        <w:rFonts w:ascii="Gill Sans" w:eastAsia="Gill Sans" w:hAnsi="Gill Sans" w:cs="Gill Sans"/>
        <w:sz w:val="13"/>
        <w:szCs w:val="13"/>
      </w:rPr>
      <w:t>arktown, Johannesburg 2193</w:t>
    </w:r>
    <w:r>
      <w:rPr>
        <w:rFonts w:ascii="Gill Sans" w:eastAsia="Gill Sans" w:hAnsi="Gill Sans" w:cs="Gill Sans"/>
        <w:sz w:val="13"/>
        <w:szCs w:val="13"/>
      </w:rPr>
      <w:tab/>
    </w:r>
    <w:r>
      <w:rPr>
        <w:rFonts w:ascii="Gill Sans" w:eastAsia="Gill Sans" w:hAnsi="Gill Sans" w:cs="Gill Sans"/>
        <w:sz w:val="13"/>
        <w:szCs w:val="13"/>
      </w:rPr>
      <w:t>Website</w:t>
    </w:r>
    <w:r>
      <w:rPr>
        <w:rFonts w:ascii="Gill Sans" w:eastAsia="Gill Sans" w:hAnsi="Gill Sans" w:cs="Gill Sans"/>
        <w:sz w:val="13"/>
        <w:szCs w:val="13"/>
      </w:rPr>
      <w:t>:</w:t>
    </w:r>
    <w:r>
      <w:rPr>
        <w:rFonts w:ascii="Gill Sans" w:eastAsia="Gill Sans" w:hAnsi="Gill Sans" w:cs="Gill Sans"/>
        <w:sz w:val="13"/>
        <w:szCs w:val="13"/>
      </w:rPr>
      <w:t xml:space="preserve"> www.inseta.org.za</w:t>
    </w:r>
  </w:p>
  <w:p>
    <w:pPr>
      <w:tabs>
        <w:tab w:val="center" w:pos="4395"/>
      </w:tabs>
      <w:spacing w:before="0" w:after="0"/>
      <w:ind w:left="4395" w:hanging="439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Gill Sans" w:eastAsia="Gill Sans" w:hAnsi="Gill Sans" w:cs="Gill Sans"/>
        <w:sz w:val="13"/>
        <w:szCs w:val="13"/>
      </w:rPr>
      <w:t>P.O. Box 32035, Braamfontein 2017</w:t>
    </w:r>
    <w:r>
      <w:rPr>
        <w:rFonts w:ascii="Gill Sans" w:eastAsia="Gill Sans" w:hAnsi="Gill Sans" w:cs="Gill Sans"/>
        <w:sz w:val="20"/>
        <w:szCs w:val="20"/>
      </w:rPr>
      <w:tab/>
    </w:r>
    <w:r>
      <w:rPr>
        <w:rFonts w:ascii="Gill Sans" w:eastAsia="Gill Sans" w:hAnsi="Gill Sans" w:cs="Gill Sans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rfqs@inseta.org.za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